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8DB3E2"/>
        <w:tblLook w:val="04A0" w:firstRow="1" w:lastRow="0" w:firstColumn="1" w:lastColumn="0" w:noHBand="0" w:noVBand="1"/>
      </w:tblPr>
      <w:tblGrid>
        <w:gridCol w:w="2198"/>
        <w:gridCol w:w="2245"/>
        <w:gridCol w:w="4385"/>
      </w:tblGrid>
      <w:tr w:rsidR="003335E1" w:rsidRPr="00B91B3F" w14:paraId="46B978F6" w14:textId="77777777" w:rsidTr="00FB593F">
        <w:trPr>
          <w:trHeight w:val="559"/>
        </w:trPr>
        <w:tc>
          <w:tcPr>
            <w:tcW w:w="8978" w:type="dxa"/>
            <w:gridSpan w:val="3"/>
            <w:tcBorders>
              <w:bottom w:val="single" w:sz="4" w:space="0" w:color="000000"/>
            </w:tcBorders>
            <w:shd w:val="clear" w:color="auto" w:fill="8DB3E2"/>
            <w:vAlign w:val="center"/>
          </w:tcPr>
          <w:p w14:paraId="01B90930" w14:textId="2D63FACC" w:rsidR="00FB593F" w:rsidRPr="00B91B3F" w:rsidRDefault="00FB593F" w:rsidP="00FB593F">
            <w:pPr>
              <w:pStyle w:val="Default"/>
            </w:pPr>
          </w:p>
          <w:tbl>
            <w:tblPr>
              <w:tblW w:w="0" w:type="auto"/>
              <w:tblBorders>
                <w:top w:val="nil"/>
                <w:left w:val="nil"/>
                <w:bottom w:val="nil"/>
                <w:right w:val="nil"/>
              </w:tblBorders>
              <w:tblLook w:val="0000" w:firstRow="0" w:lastRow="0" w:firstColumn="0" w:lastColumn="0" w:noHBand="0" w:noVBand="0"/>
            </w:tblPr>
            <w:tblGrid>
              <w:gridCol w:w="6769"/>
            </w:tblGrid>
            <w:tr w:rsidR="00FB593F" w:rsidRPr="00B91B3F" w14:paraId="136539B8" w14:textId="77777777">
              <w:trPr>
                <w:trHeight w:val="112"/>
              </w:trPr>
              <w:tc>
                <w:tcPr>
                  <w:tcW w:w="0" w:type="auto"/>
                </w:tcPr>
                <w:p w14:paraId="0AF45B3F" w14:textId="5B5D3ADB" w:rsidR="00FB593F" w:rsidRPr="00B91B3F" w:rsidRDefault="00FB593F" w:rsidP="00FB593F">
                  <w:pPr>
                    <w:pStyle w:val="Default"/>
                  </w:pPr>
                </w:p>
                <w:tbl>
                  <w:tblPr>
                    <w:tblW w:w="0" w:type="auto"/>
                    <w:tblBorders>
                      <w:top w:val="nil"/>
                      <w:left w:val="nil"/>
                      <w:bottom w:val="nil"/>
                      <w:right w:val="nil"/>
                    </w:tblBorders>
                    <w:tblLook w:val="0000" w:firstRow="0" w:lastRow="0" w:firstColumn="0" w:lastColumn="0" w:noHBand="0" w:noVBand="0"/>
                  </w:tblPr>
                  <w:tblGrid>
                    <w:gridCol w:w="6553"/>
                  </w:tblGrid>
                  <w:tr w:rsidR="00FB593F" w:rsidRPr="00B91B3F" w14:paraId="433CF7CB" w14:textId="77777777">
                    <w:trPr>
                      <w:trHeight w:val="112"/>
                    </w:trPr>
                    <w:tc>
                      <w:tcPr>
                        <w:tcW w:w="0" w:type="auto"/>
                      </w:tcPr>
                      <w:p w14:paraId="3D280A7A" w14:textId="77777777" w:rsidR="00FB593F" w:rsidRPr="00B91B3F" w:rsidRDefault="00FB593F" w:rsidP="00FB593F">
                        <w:pPr>
                          <w:pStyle w:val="Default"/>
                        </w:pPr>
                        <w:r w:rsidRPr="00B91B3F">
                          <w:t xml:space="preserve"> </w:t>
                        </w:r>
                      </w:p>
                      <w:tbl>
                        <w:tblPr>
                          <w:tblW w:w="0" w:type="auto"/>
                          <w:tblBorders>
                            <w:top w:val="nil"/>
                            <w:left w:val="nil"/>
                            <w:bottom w:val="nil"/>
                            <w:right w:val="nil"/>
                          </w:tblBorders>
                          <w:tblLook w:val="0000" w:firstRow="0" w:lastRow="0" w:firstColumn="0" w:lastColumn="0" w:noHBand="0" w:noVBand="0"/>
                        </w:tblPr>
                        <w:tblGrid>
                          <w:gridCol w:w="6337"/>
                        </w:tblGrid>
                        <w:tr w:rsidR="00FB593F" w:rsidRPr="00B91B3F" w14:paraId="1AF8D055" w14:textId="77777777">
                          <w:trPr>
                            <w:trHeight w:val="112"/>
                          </w:trPr>
                          <w:tc>
                            <w:tcPr>
                              <w:tcW w:w="0" w:type="auto"/>
                            </w:tcPr>
                            <w:p w14:paraId="4426AE48" w14:textId="508B5922" w:rsidR="00FB593F" w:rsidRPr="00B91B3F" w:rsidRDefault="00FB593F" w:rsidP="00FB593F">
                              <w:pPr>
                                <w:pStyle w:val="Default"/>
                              </w:pPr>
                              <w:r w:rsidRPr="00B91B3F">
                                <w:t xml:space="preserve">                   </w:t>
                              </w:r>
                              <w:r w:rsidRPr="00B91B3F">
                                <w:rPr>
                                  <w:b/>
                                  <w:bCs/>
                                </w:rPr>
                                <w:t>INFO</w:t>
                              </w:r>
                              <w:r w:rsidR="003F4B37" w:rsidRPr="00B91B3F">
                                <w:rPr>
                                  <w:b/>
                                  <w:bCs/>
                                </w:rPr>
                                <w:t>RME SOFTWARE LEGAL VIGENCIA 2</w:t>
                              </w:r>
                              <w:r w:rsidRPr="00B91B3F">
                                <w:rPr>
                                  <w:b/>
                                  <w:bCs/>
                                </w:rPr>
                                <w:t xml:space="preserve"> </w:t>
                              </w:r>
                            </w:p>
                          </w:tc>
                        </w:tr>
                      </w:tbl>
                      <w:p w14:paraId="3FA1F4E6" w14:textId="370F34F7" w:rsidR="00FB593F" w:rsidRPr="00B91B3F" w:rsidRDefault="00FB593F" w:rsidP="00FB593F">
                        <w:pPr>
                          <w:pStyle w:val="Default"/>
                        </w:pPr>
                      </w:p>
                    </w:tc>
                  </w:tr>
                </w:tbl>
                <w:p w14:paraId="32A23202" w14:textId="7DF256CC" w:rsidR="00FB593F" w:rsidRPr="00B91B3F" w:rsidRDefault="00FB593F" w:rsidP="00FB593F">
                  <w:pPr>
                    <w:pStyle w:val="Default"/>
                  </w:pPr>
                </w:p>
              </w:tc>
            </w:tr>
          </w:tbl>
          <w:p w14:paraId="55B2C842" w14:textId="1372C739" w:rsidR="003335E1" w:rsidRPr="00B91B3F" w:rsidRDefault="003335E1" w:rsidP="00AB6EFD">
            <w:pPr>
              <w:jc w:val="center"/>
              <w:rPr>
                <w:rFonts w:cs="Arial"/>
                <w:b/>
                <w:szCs w:val="24"/>
              </w:rPr>
            </w:pPr>
          </w:p>
        </w:tc>
      </w:tr>
      <w:tr w:rsidR="003335E1" w:rsidRPr="00B91B3F" w14:paraId="0F74A036" w14:textId="77777777" w:rsidTr="00AB6EFD">
        <w:trPr>
          <w:trHeight w:val="398"/>
        </w:trPr>
        <w:tc>
          <w:tcPr>
            <w:tcW w:w="2235" w:type="dxa"/>
            <w:vMerge w:val="restart"/>
            <w:shd w:val="clear" w:color="auto" w:fill="C6D9F1"/>
            <w:vAlign w:val="center"/>
          </w:tcPr>
          <w:p w14:paraId="54624397" w14:textId="77777777" w:rsidR="003335E1" w:rsidRPr="00B91B3F" w:rsidRDefault="003335E1" w:rsidP="00AB6EFD">
            <w:pPr>
              <w:rPr>
                <w:rFonts w:cs="Arial"/>
                <w:szCs w:val="24"/>
              </w:rPr>
            </w:pPr>
            <w:r w:rsidRPr="00B91B3F">
              <w:rPr>
                <w:rFonts w:cs="Arial"/>
                <w:szCs w:val="24"/>
              </w:rPr>
              <w:t>Asesor de Control Interno:</w:t>
            </w:r>
          </w:p>
        </w:tc>
        <w:tc>
          <w:tcPr>
            <w:tcW w:w="2268" w:type="dxa"/>
            <w:vMerge w:val="restart"/>
            <w:shd w:val="clear" w:color="auto" w:fill="C6D9F1"/>
            <w:vAlign w:val="center"/>
          </w:tcPr>
          <w:p w14:paraId="58C7E9F8" w14:textId="72197661" w:rsidR="003335E1" w:rsidRPr="00B91B3F" w:rsidRDefault="00794331" w:rsidP="00AB6EFD">
            <w:pPr>
              <w:jc w:val="center"/>
              <w:rPr>
                <w:rFonts w:cs="Arial"/>
                <w:szCs w:val="24"/>
              </w:rPr>
            </w:pPr>
            <w:r w:rsidRPr="00B91B3F">
              <w:rPr>
                <w:rFonts w:cs="Arial"/>
                <w:szCs w:val="24"/>
              </w:rPr>
              <w:t>ANGELA HERLENDY PACHECO RINCON</w:t>
            </w:r>
          </w:p>
        </w:tc>
        <w:tc>
          <w:tcPr>
            <w:tcW w:w="4475" w:type="dxa"/>
            <w:shd w:val="clear" w:color="auto" w:fill="C6D9F1"/>
            <w:vAlign w:val="center"/>
          </w:tcPr>
          <w:p w14:paraId="0867C170" w14:textId="7CAA0786" w:rsidR="003335E1" w:rsidRPr="00B91B3F" w:rsidRDefault="003335E1" w:rsidP="00AB6EFD">
            <w:pPr>
              <w:rPr>
                <w:rFonts w:cs="Arial"/>
                <w:szCs w:val="24"/>
              </w:rPr>
            </w:pPr>
            <w:r w:rsidRPr="00B91B3F">
              <w:rPr>
                <w:rFonts w:cs="Arial"/>
                <w:szCs w:val="24"/>
              </w:rPr>
              <w:t xml:space="preserve">Periodo evaluado: Enero a Diciembre  </w:t>
            </w:r>
            <w:r w:rsidR="00794331" w:rsidRPr="00B91B3F">
              <w:rPr>
                <w:rFonts w:cs="Arial"/>
                <w:szCs w:val="24"/>
              </w:rPr>
              <w:t>2024</w:t>
            </w:r>
            <w:r w:rsidR="003311CA">
              <w:rPr>
                <w:rFonts w:cs="Arial"/>
                <w:szCs w:val="24"/>
              </w:rPr>
              <w:t>.</w:t>
            </w:r>
          </w:p>
        </w:tc>
      </w:tr>
      <w:tr w:rsidR="003335E1" w:rsidRPr="00B91B3F" w14:paraId="417454AC" w14:textId="77777777" w:rsidTr="00AB6EFD">
        <w:tc>
          <w:tcPr>
            <w:tcW w:w="2235" w:type="dxa"/>
            <w:vMerge/>
            <w:shd w:val="clear" w:color="auto" w:fill="C6D9F1"/>
            <w:vAlign w:val="center"/>
          </w:tcPr>
          <w:p w14:paraId="0832E5C7" w14:textId="77777777" w:rsidR="003335E1" w:rsidRPr="00B91B3F" w:rsidRDefault="003335E1" w:rsidP="00AB6EFD">
            <w:pPr>
              <w:rPr>
                <w:rFonts w:cs="Arial"/>
                <w:szCs w:val="24"/>
              </w:rPr>
            </w:pPr>
          </w:p>
        </w:tc>
        <w:tc>
          <w:tcPr>
            <w:tcW w:w="2268" w:type="dxa"/>
            <w:vMerge/>
            <w:shd w:val="clear" w:color="auto" w:fill="C6D9F1"/>
            <w:vAlign w:val="center"/>
          </w:tcPr>
          <w:p w14:paraId="23A5B293" w14:textId="77777777" w:rsidR="003335E1" w:rsidRPr="00B91B3F" w:rsidRDefault="003335E1" w:rsidP="00AB6EFD">
            <w:pPr>
              <w:rPr>
                <w:rFonts w:cs="Arial"/>
                <w:szCs w:val="24"/>
              </w:rPr>
            </w:pPr>
          </w:p>
        </w:tc>
        <w:tc>
          <w:tcPr>
            <w:tcW w:w="4475" w:type="dxa"/>
            <w:shd w:val="clear" w:color="auto" w:fill="C6D9F1"/>
            <w:vAlign w:val="center"/>
          </w:tcPr>
          <w:p w14:paraId="26C07C7B" w14:textId="54D14DFF" w:rsidR="003335E1" w:rsidRPr="00B91B3F" w:rsidRDefault="003335E1" w:rsidP="003335E1">
            <w:pPr>
              <w:rPr>
                <w:rFonts w:cs="Arial"/>
                <w:szCs w:val="24"/>
              </w:rPr>
            </w:pPr>
            <w:r w:rsidRPr="00B91B3F">
              <w:rPr>
                <w:rFonts w:cs="Arial"/>
                <w:szCs w:val="24"/>
              </w:rPr>
              <w:t xml:space="preserve">Fecha de elaboración:  </w:t>
            </w:r>
            <w:r w:rsidR="003311CA">
              <w:rPr>
                <w:rFonts w:cs="Arial"/>
                <w:szCs w:val="24"/>
              </w:rPr>
              <w:t>marzo 10 de 2025.</w:t>
            </w:r>
          </w:p>
        </w:tc>
      </w:tr>
    </w:tbl>
    <w:p w14:paraId="26E12A18" w14:textId="77777777" w:rsidR="003335E1" w:rsidRPr="00B91B3F" w:rsidRDefault="003335E1" w:rsidP="003335E1">
      <w:pPr>
        <w:contextualSpacing/>
        <w:jc w:val="center"/>
        <w:rPr>
          <w:rFonts w:cs="Arial"/>
          <w:b/>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28"/>
      </w:tblGrid>
      <w:tr w:rsidR="003335E1" w:rsidRPr="00B91B3F" w14:paraId="7886329F" w14:textId="77777777" w:rsidTr="001B4025">
        <w:trPr>
          <w:trHeight w:val="362"/>
        </w:trPr>
        <w:tc>
          <w:tcPr>
            <w:tcW w:w="8828" w:type="dxa"/>
          </w:tcPr>
          <w:p w14:paraId="2718ABDE" w14:textId="60457DC8" w:rsidR="00B67C52" w:rsidRPr="00B91B3F" w:rsidRDefault="003335E1" w:rsidP="00AB6EFD">
            <w:pPr>
              <w:spacing w:after="120"/>
              <w:rPr>
                <w:rFonts w:cs="Arial"/>
                <w:b/>
                <w:szCs w:val="24"/>
              </w:rPr>
            </w:pPr>
            <w:r w:rsidRPr="00B91B3F">
              <w:rPr>
                <w:rFonts w:cs="Arial"/>
                <w:b/>
                <w:szCs w:val="24"/>
              </w:rPr>
              <w:t>INTRODUCCIÓN</w:t>
            </w:r>
          </w:p>
        </w:tc>
      </w:tr>
      <w:tr w:rsidR="003335E1" w:rsidRPr="00B91B3F" w14:paraId="31F21CB8" w14:textId="77777777" w:rsidTr="001B4025">
        <w:tc>
          <w:tcPr>
            <w:tcW w:w="8828" w:type="dxa"/>
          </w:tcPr>
          <w:p w14:paraId="77A806F4" w14:textId="77777777" w:rsidR="001B4025" w:rsidRPr="00B91B3F" w:rsidRDefault="001B4025" w:rsidP="001B4025">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8612"/>
            </w:tblGrid>
            <w:tr w:rsidR="001B4025" w:rsidRPr="00B91B3F" w14:paraId="2C1AE1A4" w14:textId="77777777" w:rsidTr="001B4025">
              <w:trPr>
                <w:trHeight w:val="1241"/>
              </w:trPr>
              <w:tc>
                <w:tcPr>
                  <w:tcW w:w="8612" w:type="dxa"/>
                </w:tcPr>
                <w:p w14:paraId="041FAAC4" w14:textId="5CA7165D" w:rsidR="001B4025" w:rsidRPr="00B91B3F" w:rsidRDefault="001B4025" w:rsidP="001B4025">
                  <w:pPr>
                    <w:pStyle w:val="Default"/>
                    <w:jc w:val="both"/>
                    <w:rPr>
                      <w:lang w:val="es-CO"/>
                    </w:rPr>
                  </w:pPr>
                  <w:r w:rsidRPr="00B91B3F">
                    <w:rPr>
                      <w:lang w:val="es-CO"/>
                    </w:rPr>
                    <w:t xml:space="preserve">En cumplimiento </w:t>
                  </w:r>
                  <w:r w:rsidR="00B901E6" w:rsidRPr="00B91B3F">
                    <w:rPr>
                      <w:lang w:val="es-CO"/>
                    </w:rPr>
                    <w:t>del Plan Anual de Auditorias dela</w:t>
                  </w:r>
                  <w:r w:rsidR="00794331" w:rsidRPr="00B91B3F">
                    <w:rPr>
                      <w:lang w:val="es-CO"/>
                    </w:rPr>
                    <w:t xml:space="preserve"> Oficina de Control Interno 2025</w:t>
                  </w:r>
                  <w:r w:rsidR="00B901E6" w:rsidRPr="00B91B3F">
                    <w:rPr>
                      <w:lang w:val="es-CO"/>
                    </w:rPr>
                    <w:t xml:space="preserve"> y las Normas Nacionales</w:t>
                  </w:r>
                  <w:r w:rsidRPr="00B91B3F">
                    <w:rPr>
                      <w:lang w:val="es-CO"/>
                    </w:rPr>
                    <w:t>, del Consejo A</w:t>
                  </w:r>
                  <w:r w:rsidR="00B901E6" w:rsidRPr="00B91B3F">
                    <w:rPr>
                      <w:lang w:val="es-CO"/>
                    </w:rPr>
                    <w:t>sesor del Gobierno Nacional en M</w:t>
                  </w:r>
                  <w:r w:rsidRPr="00B91B3F">
                    <w:rPr>
                      <w:lang w:val="es-CO"/>
                    </w:rPr>
                    <w:t xml:space="preserve">ateria de Control Interno de las Entidades del Orden Nacional y Territorial, se presenta la información relacionada, y se dispuso que “La Dirección Nacional de Derecho de Autor establece el procedimiento para el recibo, administración y custodia de esta información”. </w:t>
                  </w:r>
                </w:p>
                <w:p w14:paraId="5DF2DE5A" w14:textId="77777777" w:rsidR="001B4025" w:rsidRPr="00B91B3F" w:rsidRDefault="001B4025" w:rsidP="001B4025">
                  <w:pPr>
                    <w:pStyle w:val="Default"/>
                    <w:jc w:val="both"/>
                    <w:rPr>
                      <w:lang w:val="es-CO"/>
                    </w:rPr>
                  </w:pPr>
                </w:p>
                <w:p w14:paraId="0602365B" w14:textId="149BEA8A" w:rsidR="001B4025" w:rsidRPr="00B91B3F" w:rsidRDefault="001B4025" w:rsidP="001B4025">
                  <w:pPr>
                    <w:pStyle w:val="Default"/>
                    <w:jc w:val="both"/>
                    <w:rPr>
                      <w:lang w:val="es-CO"/>
                    </w:rPr>
                  </w:pPr>
                  <w:r w:rsidRPr="00B91B3F">
                    <w:rPr>
                      <w:lang w:val="es-CO"/>
                    </w:rPr>
                    <w:t xml:space="preserve">Por la anterior disposición se presenta el resultado de la revisión efectuada por la Oficina de Control Interno; las recomendaciones derivadas de la misma y se incluye el reporte con </w:t>
                  </w:r>
                  <w:r w:rsidR="00794331" w:rsidRPr="00B91B3F">
                    <w:rPr>
                      <w:lang w:val="es-CO"/>
                    </w:rPr>
                    <w:t>corte al 31 de diciembre de 2024</w:t>
                  </w:r>
                  <w:r w:rsidRPr="00B91B3F">
                    <w:rPr>
                      <w:lang w:val="es-CO"/>
                    </w:rPr>
                    <w:t xml:space="preserve">, a través del aplicativo de la Dirección Nacional de Derechos de Autor. </w:t>
                  </w:r>
                </w:p>
                <w:p w14:paraId="4DE6D8E0" w14:textId="51069EAD" w:rsidR="00B901E6" w:rsidRPr="00B91B3F" w:rsidRDefault="00B901E6" w:rsidP="001B4025">
                  <w:pPr>
                    <w:pStyle w:val="Default"/>
                    <w:jc w:val="both"/>
                    <w:rPr>
                      <w:lang w:val="es-CO"/>
                    </w:rPr>
                  </w:pPr>
                </w:p>
              </w:tc>
            </w:tr>
          </w:tbl>
          <w:p w14:paraId="60B59A6C" w14:textId="06D585E1" w:rsidR="003335E1" w:rsidRPr="00B91B3F" w:rsidRDefault="003335E1" w:rsidP="00AB6EFD">
            <w:pPr>
              <w:spacing w:after="120"/>
              <w:jc w:val="both"/>
              <w:rPr>
                <w:rFonts w:cs="Arial"/>
                <w:szCs w:val="24"/>
              </w:rPr>
            </w:pPr>
          </w:p>
        </w:tc>
      </w:tr>
      <w:tr w:rsidR="003335E1" w:rsidRPr="00B91B3F" w14:paraId="4EDC6EB3" w14:textId="77777777" w:rsidTr="001B4025">
        <w:tc>
          <w:tcPr>
            <w:tcW w:w="8828" w:type="dxa"/>
          </w:tcPr>
          <w:p w14:paraId="30447F82" w14:textId="77777777" w:rsidR="003335E1" w:rsidRPr="00B91B3F" w:rsidRDefault="003335E1" w:rsidP="00AB6EFD">
            <w:pPr>
              <w:spacing w:after="120"/>
              <w:jc w:val="both"/>
              <w:rPr>
                <w:rFonts w:cs="Arial"/>
                <w:b/>
                <w:szCs w:val="24"/>
              </w:rPr>
            </w:pPr>
            <w:r w:rsidRPr="00B91B3F">
              <w:rPr>
                <w:rFonts w:cs="Arial"/>
                <w:b/>
                <w:szCs w:val="24"/>
              </w:rPr>
              <w:t>OBJETIVO</w:t>
            </w:r>
          </w:p>
        </w:tc>
      </w:tr>
      <w:tr w:rsidR="003335E1" w:rsidRPr="00B91B3F" w14:paraId="5A42ED70" w14:textId="77777777" w:rsidTr="001B4025">
        <w:tc>
          <w:tcPr>
            <w:tcW w:w="8828" w:type="dxa"/>
          </w:tcPr>
          <w:p w14:paraId="1CB80274" w14:textId="71A98C26" w:rsidR="003335E1" w:rsidRPr="00B91B3F" w:rsidRDefault="007D7787" w:rsidP="001B4025">
            <w:pPr>
              <w:spacing w:after="120"/>
              <w:jc w:val="both"/>
              <w:rPr>
                <w:rFonts w:cs="Arial"/>
                <w:szCs w:val="24"/>
              </w:rPr>
            </w:pPr>
            <w:r w:rsidRPr="00B91B3F">
              <w:rPr>
                <w:rFonts w:cs="Arial"/>
                <w:szCs w:val="24"/>
              </w:rPr>
              <w:t>Verificar la aplicación de políticas e implementación de controles de uso de software con base a lo relacionado con las directivas presidenciales 01 del 25 de febrero de 1999 y 02 del 12 de febrero de 2002, sobre los derechos de autor y derechos conexos en referencia a la utilización de software licenciado, así como también la circular  No. 04 del 22 de diciembre de 2006 suscrita por  el director del Concejo Asesor del Gobierno en materia de Control Interno en las Entidades del orden Nacional y Territorial y la circular No. 17 del 01 de junio de 2011 suscrita por la Unidad administrativa especial de la Dirección Nacional de Derechos de Autor.</w:t>
            </w:r>
          </w:p>
        </w:tc>
      </w:tr>
      <w:tr w:rsidR="001B4025" w:rsidRPr="00B91B3F" w14:paraId="6E214981" w14:textId="77777777" w:rsidTr="001B4025">
        <w:tc>
          <w:tcPr>
            <w:tcW w:w="8828" w:type="dxa"/>
          </w:tcPr>
          <w:p w14:paraId="3D407DA7" w14:textId="6E530462" w:rsidR="001B4025" w:rsidRPr="00B91B3F" w:rsidRDefault="001B4025" w:rsidP="00AB6EFD">
            <w:pPr>
              <w:spacing w:after="120"/>
              <w:jc w:val="both"/>
              <w:rPr>
                <w:rFonts w:cs="Arial"/>
                <w:szCs w:val="24"/>
              </w:rPr>
            </w:pPr>
            <w:r w:rsidRPr="00B91B3F">
              <w:rPr>
                <w:rFonts w:cs="Arial"/>
                <w:b/>
                <w:szCs w:val="24"/>
              </w:rPr>
              <w:t>ALCANCE</w:t>
            </w:r>
          </w:p>
        </w:tc>
      </w:tr>
      <w:tr w:rsidR="001B4025" w:rsidRPr="00B91B3F" w14:paraId="09A0A587" w14:textId="77777777" w:rsidTr="001B4025">
        <w:tc>
          <w:tcPr>
            <w:tcW w:w="8828" w:type="dxa"/>
          </w:tcPr>
          <w:p w14:paraId="312967F3" w14:textId="04272ADD" w:rsidR="001B4025" w:rsidRPr="00B91B3F" w:rsidRDefault="001B4025" w:rsidP="001B4025">
            <w:pPr>
              <w:pStyle w:val="Default"/>
              <w:jc w:val="both"/>
              <w:rPr>
                <w:lang w:val="es-CO"/>
              </w:rPr>
            </w:pPr>
            <w:r w:rsidRPr="00B91B3F">
              <w:rPr>
                <w:lang w:val="es-CO"/>
              </w:rPr>
              <w:t>En este informe se analiza la aplicación de las normas vigentes en materia de derechos de autor y su adecuado uso del Software en la Ese Santiago de Tunja con</w:t>
            </w:r>
            <w:r w:rsidR="00794331" w:rsidRPr="00B91B3F">
              <w:rPr>
                <w:lang w:val="es-CO"/>
              </w:rPr>
              <w:t xml:space="preserve"> corte a 31 de diciembre de 2024</w:t>
            </w:r>
            <w:r w:rsidRPr="00B91B3F">
              <w:rPr>
                <w:lang w:val="es-CO"/>
              </w:rPr>
              <w:t xml:space="preserve">. </w:t>
            </w:r>
          </w:p>
          <w:p w14:paraId="046A4A80" w14:textId="77777777" w:rsidR="001B4025" w:rsidRPr="00B91B3F" w:rsidRDefault="001B4025" w:rsidP="001B4025">
            <w:pPr>
              <w:pStyle w:val="Default"/>
              <w:jc w:val="both"/>
              <w:rPr>
                <w:lang w:val="es-CO"/>
              </w:rPr>
            </w:pPr>
          </w:p>
          <w:p w14:paraId="4C739825" w14:textId="431C1982" w:rsidR="001B4025" w:rsidRPr="00B91B3F" w:rsidRDefault="001B4025" w:rsidP="001B4025">
            <w:pPr>
              <w:tabs>
                <w:tab w:val="left" w:pos="1035"/>
              </w:tabs>
              <w:spacing w:after="120"/>
              <w:jc w:val="both"/>
              <w:rPr>
                <w:rFonts w:cs="Arial"/>
                <w:szCs w:val="24"/>
              </w:rPr>
            </w:pPr>
            <w:r w:rsidRPr="00B91B3F">
              <w:rPr>
                <w:rFonts w:cs="Arial"/>
                <w:szCs w:val="24"/>
              </w:rPr>
              <w:lastRenderedPageBreak/>
              <w:t>Se realiza seguimiento a las acciones para prevenir el uso no autorizado de programas que no se encuentren debidamente licenciados, partiendo de la información suministrada por el Coordinador del área de S</w:t>
            </w:r>
            <w:r w:rsidR="00794331" w:rsidRPr="00B91B3F">
              <w:rPr>
                <w:rFonts w:cs="Arial"/>
                <w:szCs w:val="24"/>
              </w:rPr>
              <w:t>istemas durante la vigencia 2024</w:t>
            </w:r>
            <w:r w:rsidRPr="00B91B3F">
              <w:rPr>
                <w:rFonts w:cs="Arial"/>
                <w:szCs w:val="24"/>
              </w:rPr>
              <w:t>.</w:t>
            </w:r>
          </w:p>
        </w:tc>
      </w:tr>
      <w:tr w:rsidR="0080407A" w:rsidRPr="00B91B3F" w14:paraId="6B6A832A" w14:textId="77777777" w:rsidTr="001B4025">
        <w:tc>
          <w:tcPr>
            <w:tcW w:w="8828" w:type="dxa"/>
          </w:tcPr>
          <w:tbl>
            <w:tblPr>
              <w:tblW w:w="0" w:type="auto"/>
              <w:tblBorders>
                <w:top w:val="nil"/>
                <w:left w:val="nil"/>
                <w:bottom w:val="nil"/>
                <w:right w:val="nil"/>
              </w:tblBorders>
              <w:tblLayout w:type="fixed"/>
              <w:tblLook w:val="0000" w:firstRow="0" w:lastRow="0" w:firstColumn="0" w:lastColumn="0" w:noHBand="0" w:noVBand="0"/>
            </w:tblPr>
            <w:tblGrid>
              <w:gridCol w:w="1928"/>
            </w:tblGrid>
            <w:tr w:rsidR="0080407A" w:rsidRPr="00B91B3F" w14:paraId="3133017E" w14:textId="77777777" w:rsidTr="00AB6EFD">
              <w:trPr>
                <w:trHeight w:val="103"/>
              </w:trPr>
              <w:tc>
                <w:tcPr>
                  <w:tcW w:w="1928" w:type="dxa"/>
                </w:tcPr>
                <w:p w14:paraId="5FA0A6FC" w14:textId="2DEE17A7" w:rsidR="0080407A" w:rsidRPr="00B91B3F" w:rsidRDefault="0080407A" w:rsidP="0080407A">
                  <w:pPr>
                    <w:pStyle w:val="Default"/>
                  </w:pPr>
                  <w:r w:rsidRPr="00B91B3F">
                    <w:rPr>
                      <w:b/>
                      <w:bCs/>
                    </w:rPr>
                    <w:lastRenderedPageBreak/>
                    <w:t>NORMATIVI</w:t>
                  </w:r>
                  <w:r w:rsidR="00B91B3F">
                    <w:rPr>
                      <w:b/>
                      <w:bCs/>
                    </w:rPr>
                    <w:t>DA</w:t>
                  </w:r>
                  <w:r w:rsidRPr="00B91B3F">
                    <w:rPr>
                      <w:b/>
                      <w:bCs/>
                    </w:rPr>
                    <w:t xml:space="preserve">D </w:t>
                  </w:r>
                </w:p>
              </w:tc>
            </w:tr>
          </w:tbl>
          <w:p w14:paraId="0A6BFA35" w14:textId="0D54F5E9" w:rsidR="0080407A" w:rsidRPr="00B91B3F" w:rsidRDefault="0080407A" w:rsidP="001B4025">
            <w:pPr>
              <w:pStyle w:val="Default"/>
            </w:pPr>
          </w:p>
        </w:tc>
      </w:tr>
      <w:tr w:rsidR="003335E1" w:rsidRPr="00B91B3F" w14:paraId="75EBD669" w14:textId="77777777" w:rsidTr="001B4025">
        <w:tc>
          <w:tcPr>
            <w:tcW w:w="8828" w:type="dxa"/>
          </w:tcPr>
          <w:p w14:paraId="78F883FE" w14:textId="01E1DCE9" w:rsidR="0080407A" w:rsidRPr="00B91B3F" w:rsidRDefault="00135FF1" w:rsidP="00135FF1">
            <w:pPr>
              <w:pStyle w:val="Prrafodelista"/>
              <w:numPr>
                <w:ilvl w:val="0"/>
                <w:numId w:val="29"/>
              </w:numPr>
              <w:autoSpaceDE w:val="0"/>
              <w:autoSpaceDN w:val="0"/>
              <w:adjustRightInd w:val="0"/>
              <w:rPr>
                <w:rFonts w:eastAsiaTheme="minorHAnsi" w:cs="Arial"/>
                <w:color w:val="000000"/>
                <w:szCs w:val="24"/>
                <w:lang w:eastAsia="en-US"/>
              </w:rPr>
            </w:pPr>
            <w:r w:rsidRPr="00B91B3F">
              <w:rPr>
                <w:rFonts w:eastAsiaTheme="minorHAnsi" w:cs="Arial"/>
                <w:color w:val="000000"/>
                <w:szCs w:val="24"/>
                <w:lang w:eastAsia="en-US"/>
              </w:rPr>
              <w:t>Directiva presidencial 01 del 25 de febrero de 1999, Respecto a los derechos de autor y derechos conexos.</w:t>
            </w:r>
          </w:p>
          <w:tbl>
            <w:tblPr>
              <w:tblW w:w="0" w:type="auto"/>
              <w:tblBorders>
                <w:top w:val="nil"/>
                <w:left w:val="nil"/>
                <w:bottom w:val="nil"/>
                <w:right w:val="nil"/>
              </w:tblBorders>
              <w:tblLayout w:type="fixed"/>
              <w:tblLook w:val="0000" w:firstRow="0" w:lastRow="0" w:firstColumn="0" w:lastColumn="0" w:noHBand="0" w:noVBand="0"/>
            </w:tblPr>
            <w:tblGrid>
              <w:gridCol w:w="8244"/>
            </w:tblGrid>
            <w:tr w:rsidR="0080407A" w:rsidRPr="00B91B3F" w14:paraId="391B7366" w14:textId="77777777">
              <w:trPr>
                <w:trHeight w:val="1116"/>
              </w:trPr>
              <w:tc>
                <w:tcPr>
                  <w:tcW w:w="8244" w:type="dxa"/>
                </w:tcPr>
                <w:p w14:paraId="65DA5BD2" w14:textId="0FBC522C" w:rsidR="0080407A" w:rsidRPr="00B91B3F" w:rsidRDefault="0080407A" w:rsidP="00135FF1">
                  <w:pPr>
                    <w:pStyle w:val="Prrafodelista"/>
                    <w:numPr>
                      <w:ilvl w:val="0"/>
                      <w:numId w:val="29"/>
                    </w:numPr>
                    <w:autoSpaceDE w:val="0"/>
                    <w:autoSpaceDN w:val="0"/>
                    <w:adjustRightInd w:val="0"/>
                    <w:rPr>
                      <w:rFonts w:eastAsiaTheme="minorHAnsi" w:cs="Arial"/>
                      <w:szCs w:val="24"/>
                      <w:lang w:eastAsia="en-US"/>
                    </w:rPr>
                  </w:pPr>
                  <w:r w:rsidRPr="00B91B3F">
                    <w:rPr>
                      <w:rFonts w:eastAsiaTheme="minorHAnsi" w:cs="Arial"/>
                      <w:color w:val="000000"/>
                      <w:szCs w:val="24"/>
                      <w:lang w:eastAsia="en-US"/>
                    </w:rPr>
                    <w:t xml:space="preserve">Ley 1915 de 12 de julio de 2018 «Por la cual se modifica la ley 23 de 1982 y se establecen otras disposiciones en materia de derecho de autor y derechos conexos». </w:t>
                  </w:r>
                </w:p>
                <w:p w14:paraId="2DCD2F13" w14:textId="7F089A6D" w:rsidR="0080407A" w:rsidRPr="00B91B3F" w:rsidRDefault="0080407A" w:rsidP="00135FF1">
                  <w:pPr>
                    <w:pStyle w:val="Prrafodelista"/>
                    <w:numPr>
                      <w:ilvl w:val="0"/>
                      <w:numId w:val="29"/>
                    </w:numPr>
                    <w:autoSpaceDE w:val="0"/>
                    <w:autoSpaceDN w:val="0"/>
                    <w:adjustRightInd w:val="0"/>
                    <w:jc w:val="both"/>
                    <w:rPr>
                      <w:rFonts w:eastAsiaTheme="minorHAnsi" w:cs="Arial"/>
                      <w:color w:val="000000"/>
                      <w:szCs w:val="24"/>
                      <w:lang w:eastAsia="en-US"/>
                    </w:rPr>
                  </w:pPr>
                  <w:r w:rsidRPr="00B91B3F">
                    <w:rPr>
                      <w:rFonts w:eastAsiaTheme="minorHAnsi" w:cs="Arial"/>
                      <w:color w:val="000000"/>
                      <w:szCs w:val="24"/>
                      <w:lang w:eastAsia="en-US"/>
                    </w:rPr>
                    <w:t xml:space="preserve">Directiva Presidencial 02 de febrero 12 de 2002. «Respeto al derecho de autor y los derechos conexos, en lo referente a utilización de programas de ordenador (computador)». </w:t>
                  </w:r>
                </w:p>
                <w:p w14:paraId="3393AA18" w14:textId="79BA5181" w:rsidR="0080407A" w:rsidRPr="00B91B3F" w:rsidRDefault="0080407A" w:rsidP="00135FF1">
                  <w:pPr>
                    <w:pStyle w:val="Prrafodelista"/>
                    <w:numPr>
                      <w:ilvl w:val="0"/>
                      <w:numId w:val="29"/>
                    </w:numPr>
                    <w:autoSpaceDE w:val="0"/>
                    <w:autoSpaceDN w:val="0"/>
                    <w:adjustRightInd w:val="0"/>
                    <w:jc w:val="both"/>
                    <w:rPr>
                      <w:rFonts w:eastAsiaTheme="minorHAnsi" w:cs="Arial"/>
                      <w:color w:val="000000"/>
                      <w:szCs w:val="24"/>
                      <w:lang w:eastAsia="en-US"/>
                    </w:rPr>
                  </w:pPr>
                  <w:r w:rsidRPr="00B91B3F">
                    <w:rPr>
                      <w:rFonts w:eastAsiaTheme="minorHAnsi" w:cs="Arial"/>
                      <w:color w:val="000000"/>
                      <w:szCs w:val="24"/>
                      <w:lang w:eastAsia="en-US"/>
                    </w:rPr>
                    <w:t xml:space="preserve">Circular 07 de 28 de diciembre de 2005, «Verificación cumplimiento normas uso de software», Dirección Nacional de Derechos de Autor, Unidad Administrativa Especial del Ministerio del Interior. </w:t>
                  </w:r>
                </w:p>
                <w:p w14:paraId="7BD5C9C8" w14:textId="2671AC35" w:rsidR="00135FF1" w:rsidRPr="00B91B3F" w:rsidRDefault="00135FF1" w:rsidP="00135FF1">
                  <w:pPr>
                    <w:pStyle w:val="Prrafodelista"/>
                    <w:numPr>
                      <w:ilvl w:val="0"/>
                      <w:numId w:val="29"/>
                    </w:numPr>
                    <w:autoSpaceDE w:val="0"/>
                    <w:autoSpaceDN w:val="0"/>
                    <w:adjustRightInd w:val="0"/>
                    <w:jc w:val="both"/>
                    <w:rPr>
                      <w:rFonts w:eastAsiaTheme="minorHAnsi" w:cs="Arial"/>
                      <w:color w:val="000000"/>
                      <w:szCs w:val="24"/>
                      <w:lang w:eastAsia="en-US"/>
                    </w:rPr>
                  </w:pPr>
                  <w:r w:rsidRPr="00B91B3F">
                    <w:rPr>
                      <w:rFonts w:cs="Arial"/>
                      <w:szCs w:val="24"/>
                    </w:rPr>
                    <w:t>Circular 017 de 01 de junio de 2011. «Modificación circular 12 del 2 de febrero de 2007, sobre recomendaciones, seguimiento y resultados sobre el cumplimiento de las normas en materia de derechos de autor sobre programas de computador (software)»</w:t>
                  </w:r>
                </w:p>
                <w:p w14:paraId="42F12B6B" w14:textId="60E24483" w:rsidR="0080407A" w:rsidRPr="00B91B3F" w:rsidRDefault="00135FF1" w:rsidP="00135FF1">
                  <w:pPr>
                    <w:pStyle w:val="Prrafodelista"/>
                    <w:numPr>
                      <w:ilvl w:val="0"/>
                      <w:numId w:val="29"/>
                    </w:numPr>
                    <w:autoSpaceDE w:val="0"/>
                    <w:autoSpaceDN w:val="0"/>
                    <w:adjustRightInd w:val="0"/>
                    <w:jc w:val="both"/>
                    <w:rPr>
                      <w:rFonts w:eastAsiaTheme="minorHAnsi" w:cs="Arial"/>
                      <w:color w:val="000000"/>
                      <w:szCs w:val="24"/>
                      <w:lang w:eastAsia="en-US"/>
                    </w:rPr>
                  </w:pPr>
                  <w:r w:rsidRPr="00B91B3F">
                    <w:rPr>
                      <w:rFonts w:cs="Arial"/>
                      <w:szCs w:val="24"/>
                    </w:rPr>
                    <w:t>Circular No. 04 del 22 de diciembre de 2006 del Consejo Asesor del Gobierno Nacional en materia de Control Interno de las Entidades del Orden Nacional y Territorial «Verificación cumplimiento normas de uso de software», mediante la cual solicita a los Representantes Legales y Jefes de las Oficinas de Control Interno enviar la información relacionada con la «Verificación, recomendaciones, seguimiento y resultados sobre el cumplimiento de las normas en materia de derecho de autor sobre software».</w:t>
                  </w:r>
                  <w:r w:rsidR="00C241EB" w:rsidRPr="00B91B3F">
                    <w:rPr>
                      <w:rFonts w:cs="Arial"/>
                      <w:szCs w:val="24"/>
                    </w:rPr>
                    <w:t xml:space="preserve"> </w:t>
                  </w:r>
                </w:p>
              </w:tc>
            </w:tr>
          </w:tbl>
          <w:p w14:paraId="02CA3BBC" w14:textId="77777777" w:rsidR="001B4025" w:rsidRPr="00B91B3F" w:rsidRDefault="001B4025" w:rsidP="00135FF1">
            <w:pPr>
              <w:pStyle w:val="Default"/>
              <w:rPr>
                <w:lang w:val="es-CO"/>
              </w:rPr>
            </w:pPr>
          </w:p>
          <w:tbl>
            <w:tblPr>
              <w:tblW w:w="0" w:type="auto"/>
              <w:tblBorders>
                <w:top w:val="nil"/>
                <w:left w:val="nil"/>
                <w:bottom w:val="nil"/>
                <w:right w:val="nil"/>
              </w:tblBorders>
              <w:tblLayout w:type="fixed"/>
              <w:tblLook w:val="0000" w:firstRow="0" w:lastRow="0" w:firstColumn="0" w:lastColumn="0" w:noHBand="0" w:noVBand="0"/>
            </w:tblPr>
            <w:tblGrid>
              <w:gridCol w:w="1928"/>
            </w:tblGrid>
            <w:tr w:rsidR="001B4025" w:rsidRPr="00B91B3F" w14:paraId="0F96FB09" w14:textId="77777777" w:rsidTr="001B4025">
              <w:trPr>
                <w:trHeight w:val="103"/>
              </w:trPr>
              <w:tc>
                <w:tcPr>
                  <w:tcW w:w="1928" w:type="dxa"/>
                </w:tcPr>
                <w:p w14:paraId="23625D03" w14:textId="24E50927" w:rsidR="001B4025" w:rsidRPr="00B91B3F" w:rsidRDefault="001B4025" w:rsidP="00135FF1">
                  <w:pPr>
                    <w:pStyle w:val="Default"/>
                    <w:rPr>
                      <w:lang w:val="es-CO"/>
                    </w:rPr>
                  </w:pPr>
                </w:p>
              </w:tc>
            </w:tr>
          </w:tbl>
          <w:p w14:paraId="549BBE99" w14:textId="412FBD66" w:rsidR="003335E1" w:rsidRPr="00B91B3F" w:rsidRDefault="003335E1" w:rsidP="00135FF1">
            <w:pPr>
              <w:spacing w:after="120"/>
              <w:rPr>
                <w:rFonts w:cs="Arial"/>
                <w:szCs w:val="24"/>
              </w:rPr>
            </w:pPr>
          </w:p>
        </w:tc>
      </w:tr>
      <w:tr w:rsidR="004F7E6A" w:rsidRPr="00B91B3F" w14:paraId="52291024" w14:textId="77777777" w:rsidTr="001B4025">
        <w:tc>
          <w:tcPr>
            <w:tcW w:w="8828" w:type="dxa"/>
          </w:tcPr>
          <w:p w14:paraId="03FB9FC2" w14:textId="77777777" w:rsidR="004F7E6A" w:rsidRPr="00B91B3F" w:rsidRDefault="004F7E6A" w:rsidP="004F7E6A">
            <w:pPr>
              <w:pStyle w:val="Default"/>
            </w:pPr>
            <w:r w:rsidRPr="00B91B3F">
              <w:rPr>
                <w:b/>
                <w:bCs/>
              </w:rPr>
              <w:t xml:space="preserve">INFORME </w:t>
            </w:r>
          </w:p>
          <w:p w14:paraId="3E58079E" w14:textId="77777777" w:rsidR="004F7E6A" w:rsidRPr="00B91B3F" w:rsidRDefault="004F7E6A" w:rsidP="0080407A">
            <w:pPr>
              <w:autoSpaceDE w:val="0"/>
              <w:autoSpaceDN w:val="0"/>
              <w:adjustRightInd w:val="0"/>
              <w:rPr>
                <w:rFonts w:eastAsiaTheme="minorHAnsi" w:cs="Arial"/>
                <w:color w:val="000000"/>
                <w:szCs w:val="24"/>
                <w:lang w:val="en-US" w:eastAsia="en-US"/>
              </w:rPr>
            </w:pPr>
          </w:p>
        </w:tc>
      </w:tr>
      <w:tr w:rsidR="0080407A" w:rsidRPr="00B91B3F" w14:paraId="5754F07F" w14:textId="77777777" w:rsidTr="001B4025">
        <w:trPr>
          <w:trHeight w:val="232"/>
        </w:trPr>
        <w:tc>
          <w:tcPr>
            <w:tcW w:w="8828" w:type="dxa"/>
          </w:tcPr>
          <w:p w14:paraId="1F754C63" w14:textId="5348393C" w:rsidR="004F7E6A" w:rsidRPr="00B91B3F" w:rsidRDefault="004F7E6A" w:rsidP="004F7E6A">
            <w:pPr>
              <w:pStyle w:val="Default"/>
              <w:jc w:val="both"/>
              <w:rPr>
                <w:lang w:val="es-CO"/>
              </w:rPr>
            </w:pPr>
            <w:r w:rsidRPr="00B91B3F">
              <w:rPr>
                <w:lang w:val="es-CO"/>
              </w:rPr>
              <w:t xml:space="preserve">La Oficina de Control Interno procedió a verificar los soportes a respuestas emitidas por parte del área de sistemas de la Ese Santiago de Tunja, con el fin de </w:t>
            </w:r>
            <w:r w:rsidRPr="00B91B3F">
              <w:rPr>
                <w:lang w:val="es-CO"/>
              </w:rPr>
              <w:lastRenderedPageBreak/>
              <w:t xml:space="preserve">dar cumplimiento a lo establecido en el marco legal relacionado con los Derechos de autor y el uso del software. </w:t>
            </w:r>
          </w:p>
          <w:p w14:paraId="14C8940F" w14:textId="77777777" w:rsidR="00E524E5" w:rsidRPr="00B91B3F" w:rsidRDefault="00E524E5" w:rsidP="004F7E6A">
            <w:pPr>
              <w:pStyle w:val="Default"/>
              <w:jc w:val="both"/>
              <w:rPr>
                <w:lang w:val="es-CO"/>
              </w:rPr>
            </w:pPr>
          </w:p>
          <w:p w14:paraId="720043EF" w14:textId="567CE440" w:rsidR="004F7E6A" w:rsidRPr="00B91B3F" w:rsidRDefault="004F7E6A" w:rsidP="00E524E5">
            <w:pPr>
              <w:pStyle w:val="Default"/>
              <w:jc w:val="both"/>
              <w:rPr>
                <w:lang w:val="es-CO"/>
              </w:rPr>
            </w:pPr>
            <w:r w:rsidRPr="00B91B3F">
              <w:rPr>
                <w:lang w:val="es-CO"/>
              </w:rPr>
              <w:t>Información solicitada por la Dirección Nacional de Derechos de Autor (DNDA) con</w:t>
            </w:r>
            <w:r w:rsidR="00C241EB" w:rsidRPr="00B91B3F">
              <w:rPr>
                <w:lang w:val="es-CO"/>
              </w:rPr>
              <w:t xml:space="preserve"> corte a 31 de diciembre de 2024</w:t>
            </w:r>
            <w:r w:rsidRPr="00B91B3F">
              <w:rPr>
                <w:lang w:val="es-CO"/>
              </w:rPr>
              <w:t xml:space="preserve">, relacionada con: </w:t>
            </w:r>
          </w:p>
          <w:p w14:paraId="0F3B2898" w14:textId="77777777" w:rsidR="004F7E6A" w:rsidRPr="00B91B3F" w:rsidRDefault="004F7E6A" w:rsidP="004F7E6A">
            <w:pPr>
              <w:pStyle w:val="Default"/>
              <w:jc w:val="both"/>
              <w:rPr>
                <w:lang w:val="es-CO"/>
              </w:rPr>
            </w:pPr>
          </w:p>
          <w:p w14:paraId="6B90F55B" w14:textId="77777777" w:rsidR="004F7E6A" w:rsidRPr="00B91B3F" w:rsidRDefault="004F7E6A" w:rsidP="004F7E6A">
            <w:pPr>
              <w:pStyle w:val="Default"/>
              <w:jc w:val="both"/>
              <w:rPr>
                <w:lang w:val="es-CO"/>
              </w:rPr>
            </w:pPr>
            <w:r w:rsidRPr="00B91B3F">
              <w:rPr>
                <w:lang w:val="es-CO"/>
              </w:rPr>
              <w:t xml:space="preserve">1. ¿Con cuántos equipos cuenta la entidad? </w:t>
            </w:r>
          </w:p>
          <w:p w14:paraId="29857418" w14:textId="56D6733E" w:rsidR="004F7E6A" w:rsidRPr="00B91B3F" w:rsidRDefault="00D35D8A" w:rsidP="004F7E6A">
            <w:pPr>
              <w:pStyle w:val="Default"/>
              <w:jc w:val="both"/>
              <w:rPr>
                <w:lang w:val="es-CO"/>
              </w:rPr>
            </w:pPr>
            <w:r w:rsidRPr="00B91B3F">
              <w:rPr>
                <w:lang w:val="es-CO"/>
              </w:rPr>
              <w:t xml:space="preserve">La Empresa Social del Estado Santiago de Tunja cuenta con un total de </w:t>
            </w:r>
            <w:r w:rsidR="006A2AA1" w:rsidRPr="00B91B3F">
              <w:rPr>
                <w:lang w:val="es-CO"/>
              </w:rPr>
              <w:t>346</w:t>
            </w:r>
            <w:r w:rsidR="00E877CF" w:rsidRPr="00B91B3F">
              <w:rPr>
                <w:lang w:val="es-CO"/>
              </w:rPr>
              <w:t xml:space="preserve"> </w:t>
            </w:r>
            <w:r w:rsidRPr="00B91B3F">
              <w:rPr>
                <w:lang w:val="es-CO"/>
              </w:rPr>
              <w:t xml:space="preserve">equipos de </w:t>
            </w:r>
            <w:r w:rsidR="007B26DD" w:rsidRPr="00B91B3F">
              <w:rPr>
                <w:lang w:val="es-CO"/>
              </w:rPr>
              <w:t>cómputo</w:t>
            </w:r>
            <w:r w:rsidR="00564CFF" w:rsidRPr="00B91B3F">
              <w:rPr>
                <w:lang w:val="es-CO"/>
              </w:rPr>
              <w:t>.</w:t>
            </w:r>
          </w:p>
          <w:p w14:paraId="581BCAFC" w14:textId="77777777" w:rsidR="00564CFF" w:rsidRPr="00B91B3F" w:rsidRDefault="00564CFF" w:rsidP="004F7E6A">
            <w:pPr>
              <w:pStyle w:val="Default"/>
              <w:jc w:val="both"/>
              <w:rPr>
                <w:lang w:val="es-CO"/>
              </w:rPr>
            </w:pPr>
          </w:p>
          <w:p w14:paraId="7FC394FB" w14:textId="77777777" w:rsidR="004F7E6A" w:rsidRPr="00B91B3F" w:rsidRDefault="004F7E6A" w:rsidP="004F7E6A">
            <w:pPr>
              <w:pStyle w:val="Default"/>
              <w:jc w:val="both"/>
              <w:rPr>
                <w:lang w:val="es-CO"/>
              </w:rPr>
            </w:pPr>
            <w:r w:rsidRPr="00B91B3F">
              <w:rPr>
                <w:lang w:val="es-CO"/>
              </w:rPr>
              <w:t xml:space="preserve">2. ¿Qué mecanismos de control se han implementado para evitar que los usuarios instalen programas o aplicativos que no cuenten con la licencia respectiva? </w:t>
            </w:r>
          </w:p>
          <w:p w14:paraId="0D376057" w14:textId="77777777" w:rsidR="004F7E6A" w:rsidRPr="00B91B3F" w:rsidRDefault="004F7E6A" w:rsidP="004F7E6A">
            <w:pPr>
              <w:pStyle w:val="Default"/>
              <w:jc w:val="both"/>
              <w:rPr>
                <w:lang w:val="es-CO"/>
              </w:rPr>
            </w:pPr>
          </w:p>
          <w:p w14:paraId="66952586" w14:textId="71D9EF45" w:rsidR="00564CFF" w:rsidRPr="00B91B3F" w:rsidRDefault="00564CFF" w:rsidP="004F7E6A">
            <w:pPr>
              <w:pStyle w:val="Default"/>
              <w:jc w:val="both"/>
              <w:rPr>
                <w:lang w:val="es-CO"/>
              </w:rPr>
            </w:pPr>
            <w:r w:rsidRPr="00B91B3F">
              <w:rPr>
                <w:lang w:val="es-CO"/>
              </w:rPr>
              <w:t>La E.S.E. Santiago de Tunja cuenta con el Manual</w:t>
            </w:r>
            <w:r w:rsidR="004F7E6A" w:rsidRPr="00B91B3F">
              <w:rPr>
                <w:lang w:val="es-CO"/>
              </w:rPr>
              <w:t xml:space="preserve"> de políticas de seguridad y privacidad de la información. </w:t>
            </w:r>
            <w:r w:rsidR="003A4677" w:rsidRPr="00B91B3F">
              <w:rPr>
                <w:lang w:val="es-CO"/>
              </w:rPr>
              <w:t>Se da aplicación de la política de seguridad por medio del servidor de dominio, incluyendo restricciones, control de plataforma de antivirus, instalación solo por el administrador autorizado y la creación de cuentas de usuario con restricciones.</w:t>
            </w:r>
          </w:p>
          <w:p w14:paraId="50BD1E6E" w14:textId="02453F40" w:rsidR="0072364D" w:rsidRPr="00B91B3F" w:rsidRDefault="0072364D" w:rsidP="004F7E6A">
            <w:pPr>
              <w:pStyle w:val="Default"/>
              <w:jc w:val="both"/>
              <w:rPr>
                <w:lang w:val="es-CO"/>
              </w:rPr>
            </w:pPr>
          </w:p>
          <w:p w14:paraId="35983332" w14:textId="64FD837C" w:rsidR="0072364D" w:rsidRPr="00B91B3F" w:rsidRDefault="0072364D" w:rsidP="004F7E6A">
            <w:pPr>
              <w:pStyle w:val="Default"/>
              <w:jc w:val="both"/>
              <w:rPr>
                <w:lang w:val="es-CO"/>
              </w:rPr>
            </w:pPr>
            <w:r w:rsidRPr="00B91B3F">
              <w:rPr>
                <w:lang w:val="es-CO"/>
              </w:rPr>
              <w:t>El permiso de administrador se otorga por medio de contraseñas, las cuales exclusivamente son de manejo del Ingeniero de Sistemas de la E.S.E. Santiago de Tunja.</w:t>
            </w:r>
          </w:p>
          <w:p w14:paraId="1EF27F2B" w14:textId="77777777" w:rsidR="00564CFF" w:rsidRPr="00B91B3F" w:rsidRDefault="00564CFF" w:rsidP="004F7E6A">
            <w:pPr>
              <w:pStyle w:val="Default"/>
              <w:jc w:val="both"/>
              <w:rPr>
                <w:lang w:val="es-CO"/>
              </w:rPr>
            </w:pPr>
          </w:p>
          <w:p w14:paraId="293C3002" w14:textId="02CD7447" w:rsidR="004F7E6A" w:rsidRPr="00B91B3F" w:rsidRDefault="004F7E6A" w:rsidP="004F7E6A">
            <w:pPr>
              <w:pStyle w:val="Default"/>
              <w:jc w:val="both"/>
              <w:rPr>
                <w:lang w:val="es-CO"/>
              </w:rPr>
            </w:pPr>
            <w:r w:rsidRPr="00B91B3F">
              <w:rPr>
                <w:lang w:val="es-CO"/>
              </w:rPr>
              <w:t xml:space="preserve">3. ¿Cuál es el destino final que se le da al software dado de baja en su entidad? </w:t>
            </w:r>
          </w:p>
          <w:p w14:paraId="36E5E648" w14:textId="77777777" w:rsidR="00564CFF" w:rsidRPr="00B91B3F" w:rsidRDefault="00564CFF" w:rsidP="004F7E6A">
            <w:pPr>
              <w:pStyle w:val="Default"/>
              <w:jc w:val="both"/>
              <w:rPr>
                <w:lang w:val="es-CO"/>
              </w:rPr>
            </w:pPr>
            <w:r w:rsidRPr="00B91B3F">
              <w:rPr>
                <w:lang w:val="es-CO"/>
              </w:rPr>
              <w:t xml:space="preserve"> </w:t>
            </w:r>
          </w:p>
          <w:p w14:paraId="7F1A2E8E" w14:textId="16E7510C" w:rsidR="004F7E6A" w:rsidRPr="00B91B3F" w:rsidRDefault="0072364D" w:rsidP="004F7E6A">
            <w:pPr>
              <w:pStyle w:val="Default"/>
              <w:jc w:val="both"/>
              <w:rPr>
                <w:lang w:val="es-CO"/>
              </w:rPr>
            </w:pPr>
            <w:r w:rsidRPr="00B91B3F">
              <w:rPr>
                <w:lang w:val="es-CO"/>
              </w:rPr>
              <w:t xml:space="preserve">Los funcionarios hacen llegar los equipos a la oficina de Sistemas de soporte técnico </w:t>
            </w:r>
            <w:r w:rsidR="00AB27EC" w:rsidRPr="00B91B3F">
              <w:rPr>
                <w:lang w:val="es-CO"/>
              </w:rPr>
              <w:t xml:space="preserve">de </w:t>
            </w:r>
            <w:r w:rsidR="00371B84" w:rsidRPr="00B91B3F">
              <w:rPr>
                <w:lang w:val="es-CO"/>
              </w:rPr>
              <w:t>apoyo,</w:t>
            </w:r>
            <w:r w:rsidR="00AB27EC" w:rsidRPr="00B91B3F">
              <w:rPr>
                <w:lang w:val="es-CO"/>
              </w:rPr>
              <w:t xml:space="preserve"> los cuales son revisados a allí se encargan de dar un concepto técnico y se envía a   </w:t>
            </w:r>
            <w:r w:rsidR="004F7E6A" w:rsidRPr="00B91B3F">
              <w:rPr>
                <w:lang w:val="es-CO"/>
              </w:rPr>
              <w:t>Almacenamiento y custodi</w:t>
            </w:r>
            <w:r w:rsidR="00AB27EC" w:rsidRPr="00B91B3F">
              <w:rPr>
                <w:lang w:val="es-CO"/>
              </w:rPr>
              <w:t>a quienes se encargan de dar de baja a través del comité respectivo</w:t>
            </w:r>
            <w:r w:rsidR="004F7E6A" w:rsidRPr="00B91B3F">
              <w:rPr>
                <w:lang w:val="es-CO"/>
              </w:rPr>
              <w:t xml:space="preserve">. </w:t>
            </w:r>
          </w:p>
          <w:p w14:paraId="61B892EC" w14:textId="77777777" w:rsidR="00564CFF" w:rsidRPr="00B91B3F" w:rsidRDefault="00564CFF" w:rsidP="004F7E6A">
            <w:pPr>
              <w:pStyle w:val="Default"/>
              <w:jc w:val="both"/>
              <w:rPr>
                <w:lang w:val="es-CO"/>
              </w:rPr>
            </w:pPr>
          </w:p>
          <w:p w14:paraId="2A790056" w14:textId="77777777" w:rsidR="004F7E6A" w:rsidRPr="00B91B3F" w:rsidRDefault="004F7E6A" w:rsidP="004F7E6A">
            <w:pPr>
              <w:pStyle w:val="Default"/>
              <w:jc w:val="both"/>
              <w:rPr>
                <w:lang w:val="es-CO"/>
              </w:rPr>
            </w:pPr>
            <w:r w:rsidRPr="00B91B3F">
              <w:rPr>
                <w:lang w:val="es-CO"/>
              </w:rPr>
              <w:t xml:space="preserve">4. ¿El software instalado en estos equipos se encuentra debidamente licenciado? </w:t>
            </w:r>
          </w:p>
          <w:p w14:paraId="27111372" w14:textId="77777777" w:rsidR="00564CFF" w:rsidRPr="00B91B3F" w:rsidRDefault="00564CFF" w:rsidP="00564CFF">
            <w:pPr>
              <w:pStyle w:val="Default"/>
              <w:jc w:val="both"/>
              <w:rPr>
                <w:lang w:val="es-CO"/>
              </w:rPr>
            </w:pPr>
          </w:p>
          <w:p w14:paraId="6D2B666D" w14:textId="0C0B7CB0" w:rsidR="00564CFF" w:rsidRPr="00B91B3F" w:rsidRDefault="00564CFF" w:rsidP="00564CFF">
            <w:pPr>
              <w:pStyle w:val="Default"/>
              <w:jc w:val="both"/>
              <w:rPr>
                <w:lang w:val="es-CO"/>
              </w:rPr>
            </w:pPr>
            <w:r w:rsidRPr="00B91B3F">
              <w:rPr>
                <w:lang w:val="es-CO"/>
              </w:rPr>
              <w:t xml:space="preserve">El software instalado en estos equipos se encuentra debidamente licenciado como lo establece la ley y de acuerdo al informe dado por </w:t>
            </w:r>
            <w:r w:rsidR="0072364D" w:rsidRPr="00B91B3F">
              <w:rPr>
                <w:lang w:val="es-CO"/>
              </w:rPr>
              <w:t>el encargado</w:t>
            </w:r>
            <w:r w:rsidRPr="00B91B3F">
              <w:rPr>
                <w:lang w:val="es-CO"/>
              </w:rPr>
              <w:t xml:space="preserve"> del área de Sistemas.</w:t>
            </w:r>
          </w:p>
          <w:p w14:paraId="42A1E181" w14:textId="78314EDB" w:rsidR="00564CFF" w:rsidRPr="00B91B3F" w:rsidRDefault="00564CFF" w:rsidP="004F7E6A">
            <w:pPr>
              <w:spacing w:after="120"/>
              <w:jc w:val="both"/>
              <w:rPr>
                <w:rFonts w:cs="Arial"/>
                <w:b/>
                <w:szCs w:val="24"/>
              </w:rPr>
            </w:pPr>
          </w:p>
        </w:tc>
      </w:tr>
      <w:tr w:rsidR="004F7E6A" w:rsidRPr="00B91B3F" w14:paraId="075D7350" w14:textId="77777777" w:rsidTr="001B4025">
        <w:trPr>
          <w:trHeight w:val="232"/>
        </w:trPr>
        <w:tc>
          <w:tcPr>
            <w:tcW w:w="8828" w:type="dxa"/>
          </w:tcPr>
          <w:p w14:paraId="282DFD5C" w14:textId="056C5873" w:rsidR="004F7E6A" w:rsidRPr="00B91B3F" w:rsidRDefault="004F7E6A" w:rsidP="004F7E6A">
            <w:pPr>
              <w:pStyle w:val="Default"/>
              <w:jc w:val="both"/>
            </w:pPr>
            <w:r w:rsidRPr="00B91B3F">
              <w:rPr>
                <w:b/>
                <w:bCs/>
              </w:rPr>
              <w:lastRenderedPageBreak/>
              <w:t xml:space="preserve">CONCLUSIONES </w:t>
            </w:r>
          </w:p>
        </w:tc>
      </w:tr>
      <w:tr w:rsidR="004F7E6A" w:rsidRPr="00B91B3F" w14:paraId="75043C87" w14:textId="77777777" w:rsidTr="001B4025">
        <w:trPr>
          <w:trHeight w:val="232"/>
        </w:trPr>
        <w:tc>
          <w:tcPr>
            <w:tcW w:w="8828" w:type="dxa"/>
          </w:tcPr>
          <w:p w14:paraId="63B09F26" w14:textId="3CD5C610" w:rsidR="004F7E6A" w:rsidRDefault="004F7E6A" w:rsidP="00B91B3F">
            <w:pPr>
              <w:pStyle w:val="Default"/>
              <w:numPr>
                <w:ilvl w:val="0"/>
                <w:numId w:val="30"/>
              </w:numPr>
              <w:jc w:val="both"/>
              <w:rPr>
                <w:lang w:val="es-CO"/>
              </w:rPr>
            </w:pPr>
            <w:r w:rsidRPr="00B91B3F">
              <w:rPr>
                <w:lang w:val="es-CO"/>
              </w:rPr>
              <w:t xml:space="preserve">De acuerdo a la metodología y seguimiento realizado, se puede afirmar que la ESE Santiago de </w:t>
            </w:r>
            <w:r w:rsidR="006B1E12" w:rsidRPr="00B91B3F">
              <w:rPr>
                <w:lang w:val="es-CO"/>
              </w:rPr>
              <w:t xml:space="preserve">Tunja, </w:t>
            </w:r>
            <w:r w:rsidR="0072364D" w:rsidRPr="00B91B3F">
              <w:rPr>
                <w:lang w:val="es-CO"/>
              </w:rPr>
              <w:t>cumple</w:t>
            </w:r>
            <w:r w:rsidRPr="00B91B3F">
              <w:rPr>
                <w:lang w:val="es-CO"/>
              </w:rPr>
              <w:t xml:space="preserve"> con la norma en materia de Ley sobre el uso de Software Legal. </w:t>
            </w:r>
          </w:p>
          <w:p w14:paraId="7D9F830F" w14:textId="77777777" w:rsidR="00A51C8A" w:rsidRPr="00B91B3F" w:rsidRDefault="00A51C8A" w:rsidP="00A51C8A">
            <w:pPr>
              <w:pStyle w:val="Default"/>
              <w:ind w:left="720"/>
              <w:jc w:val="both"/>
              <w:rPr>
                <w:lang w:val="es-CO"/>
              </w:rPr>
            </w:pPr>
          </w:p>
          <w:p w14:paraId="33D83F01" w14:textId="5DA71D9D" w:rsidR="00B91B3F" w:rsidRPr="00B91B3F" w:rsidRDefault="00B91B3F" w:rsidP="00B91B3F">
            <w:pPr>
              <w:pStyle w:val="NormalWeb"/>
              <w:numPr>
                <w:ilvl w:val="0"/>
                <w:numId w:val="30"/>
              </w:numPr>
              <w:rPr>
                <w:rFonts w:ascii="Arial" w:hAnsi="Arial" w:cs="Arial"/>
                <w:lang w:val="es-CO" w:eastAsia="es-MX"/>
              </w:rPr>
            </w:pPr>
            <w:r w:rsidRPr="00B91B3F">
              <w:rPr>
                <w:rFonts w:ascii="Arial" w:hAnsi="Arial" w:cs="Arial"/>
                <w:lang w:val="es-CO"/>
              </w:rPr>
              <w:t>La</w:t>
            </w:r>
            <w:r w:rsidRPr="00B91B3F">
              <w:rPr>
                <w:rStyle w:val="apple-converted-space"/>
                <w:rFonts w:ascii="Arial" w:hAnsi="Arial" w:cs="Arial"/>
                <w:lang w:val="es-CO"/>
              </w:rPr>
              <w:t> </w:t>
            </w:r>
            <w:r w:rsidRPr="00B91B3F">
              <w:rPr>
                <w:rStyle w:val="Textoennegrita"/>
                <w:rFonts w:ascii="Arial" w:hAnsi="Arial" w:cs="Arial"/>
                <w:lang w:val="es-CO"/>
              </w:rPr>
              <w:t>E.S.E. Santiago de Tunja</w:t>
            </w:r>
            <w:r w:rsidRPr="00B91B3F">
              <w:rPr>
                <w:rStyle w:val="apple-converted-space"/>
                <w:rFonts w:ascii="Arial" w:hAnsi="Arial" w:cs="Arial"/>
                <w:lang w:val="es-CO"/>
              </w:rPr>
              <w:t> </w:t>
            </w:r>
            <w:r w:rsidRPr="00B91B3F">
              <w:rPr>
                <w:rFonts w:ascii="Arial" w:hAnsi="Arial" w:cs="Arial"/>
                <w:lang w:val="es-CO"/>
              </w:rPr>
              <w:t>cumple con la normativa vigente en materia de derechos de autor y uso de software legal, garantizando que los programas instalados en sus equipos cuentan con licencias adecuadas.</w:t>
            </w:r>
          </w:p>
          <w:p w14:paraId="09F5CFF3" w14:textId="52FA39B2" w:rsidR="00B91B3F" w:rsidRPr="00B91B3F" w:rsidRDefault="00B91B3F" w:rsidP="00B91B3F">
            <w:pPr>
              <w:pStyle w:val="NormalWeb"/>
              <w:numPr>
                <w:ilvl w:val="0"/>
                <w:numId w:val="30"/>
              </w:numPr>
              <w:rPr>
                <w:rFonts w:ascii="Arial" w:hAnsi="Arial" w:cs="Arial"/>
                <w:lang w:val="es-CO"/>
              </w:rPr>
            </w:pPr>
            <w:r w:rsidRPr="00B91B3F">
              <w:rPr>
                <w:rFonts w:ascii="Arial" w:hAnsi="Arial" w:cs="Arial"/>
                <w:lang w:val="es-CO"/>
              </w:rPr>
              <w:t>Se han implementado mecanismos de control efectivos para prevenir la instalación de software no autorizado, mediante políticas de seguridad, restricciones de usuario y administración centralizada de permisos.</w:t>
            </w:r>
          </w:p>
          <w:p w14:paraId="7515383D" w14:textId="69B932E8" w:rsidR="00B91B3F" w:rsidRPr="00B91B3F" w:rsidRDefault="00B91B3F" w:rsidP="00B91B3F">
            <w:pPr>
              <w:pStyle w:val="NormalWeb"/>
              <w:numPr>
                <w:ilvl w:val="0"/>
                <w:numId w:val="30"/>
              </w:numPr>
              <w:rPr>
                <w:rFonts w:ascii="Arial" w:hAnsi="Arial" w:cs="Arial"/>
                <w:lang w:val="es-CO"/>
              </w:rPr>
            </w:pPr>
            <w:r w:rsidRPr="00B91B3F">
              <w:rPr>
                <w:rFonts w:ascii="Arial" w:hAnsi="Arial" w:cs="Arial"/>
                <w:lang w:val="es-CO"/>
              </w:rPr>
              <w:t>La entidad cuenta con un</w:t>
            </w:r>
            <w:r w:rsidRPr="00B91B3F">
              <w:rPr>
                <w:rStyle w:val="apple-converted-space"/>
                <w:rFonts w:ascii="Arial" w:hAnsi="Arial" w:cs="Arial"/>
                <w:lang w:val="es-CO"/>
              </w:rPr>
              <w:t> </w:t>
            </w:r>
            <w:r w:rsidRPr="00B91B3F">
              <w:rPr>
                <w:rStyle w:val="Textoennegrita"/>
                <w:rFonts w:ascii="Arial" w:hAnsi="Arial" w:cs="Arial"/>
                <w:lang w:val="es-CO"/>
              </w:rPr>
              <w:t>procedimiento formal para la baja de software</w:t>
            </w:r>
            <w:r w:rsidRPr="00B91B3F">
              <w:rPr>
                <w:rStyle w:val="apple-converted-space"/>
                <w:rFonts w:ascii="Arial" w:hAnsi="Arial" w:cs="Arial"/>
                <w:lang w:val="es-CO"/>
              </w:rPr>
              <w:t> </w:t>
            </w:r>
            <w:r w:rsidRPr="00B91B3F">
              <w:rPr>
                <w:rFonts w:ascii="Arial" w:hAnsi="Arial" w:cs="Arial"/>
                <w:lang w:val="es-CO"/>
              </w:rPr>
              <w:t>y equipos obsoletos, asegurando su correcta gestión y almacenamiento conforme a la normativa establecida.</w:t>
            </w:r>
          </w:p>
          <w:p w14:paraId="03BD06CE" w14:textId="71F72636" w:rsidR="00B91B3F" w:rsidRPr="00B91B3F" w:rsidRDefault="00B91B3F" w:rsidP="00B91B3F">
            <w:pPr>
              <w:pStyle w:val="NormalWeb"/>
              <w:numPr>
                <w:ilvl w:val="0"/>
                <w:numId w:val="30"/>
              </w:numPr>
              <w:rPr>
                <w:rFonts w:ascii="Arial" w:hAnsi="Arial" w:cs="Arial"/>
                <w:lang w:val="es-CO"/>
              </w:rPr>
            </w:pPr>
            <w:r w:rsidRPr="00B91B3F">
              <w:rPr>
                <w:rFonts w:ascii="Arial" w:hAnsi="Arial" w:cs="Arial"/>
                <w:lang w:val="es-CO"/>
              </w:rPr>
              <w:t>La información suministrada por el área de Sistemas permitió verificar que los</w:t>
            </w:r>
            <w:r w:rsidRPr="00B91B3F">
              <w:rPr>
                <w:rStyle w:val="apple-converted-space"/>
                <w:rFonts w:ascii="Arial" w:hAnsi="Arial" w:cs="Arial"/>
                <w:lang w:val="es-CO"/>
              </w:rPr>
              <w:t> </w:t>
            </w:r>
            <w:r w:rsidRPr="00B91B3F">
              <w:rPr>
                <w:rStyle w:val="Textoennegrita"/>
                <w:rFonts w:ascii="Arial" w:hAnsi="Arial" w:cs="Arial"/>
                <w:lang w:val="es-CO"/>
              </w:rPr>
              <w:t>346 equipos de cómputo</w:t>
            </w:r>
            <w:r w:rsidRPr="00B91B3F">
              <w:rPr>
                <w:rStyle w:val="apple-converted-space"/>
                <w:rFonts w:ascii="Arial" w:hAnsi="Arial" w:cs="Arial"/>
                <w:lang w:val="es-CO"/>
              </w:rPr>
              <w:t> </w:t>
            </w:r>
            <w:r w:rsidRPr="00B91B3F">
              <w:rPr>
                <w:rFonts w:ascii="Arial" w:hAnsi="Arial" w:cs="Arial"/>
                <w:lang w:val="es-CO"/>
              </w:rPr>
              <w:t>de la institución cumplen con los estándares de legalidad en cuanto al software utilizado.</w:t>
            </w:r>
          </w:p>
          <w:p w14:paraId="248DF532" w14:textId="1A7F88E2" w:rsidR="004F7E6A" w:rsidRPr="007B26DD" w:rsidRDefault="00B91B3F" w:rsidP="007B26DD">
            <w:pPr>
              <w:pStyle w:val="NormalWeb"/>
              <w:numPr>
                <w:ilvl w:val="0"/>
                <w:numId w:val="30"/>
              </w:numPr>
              <w:rPr>
                <w:rFonts w:ascii="Arial" w:hAnsi="Arial" w:cs="Arial"/>
                <w:lang w:val="es-CO"/>
              </w:rPr>
            </w:pPr>
            <w:r w:rsidRPr="00B91B3F">
              <w:rPr>
                <w:rFonts w:ascii="Arial" w:hAnsi="Arial" w:cs="Arial"/>
                <w:lang w:val="es-CO"/>
              </w:rPr>
              <w:t>Se recomienda la</w:t>
            </w:r>
            <w:r w:rsidRPr="00B91B3F">
              <w:rPr>
                <w:rStyle w:val="apple-converted-space"/>
                <w:rFonts w:ascii="Arial" w:hAnsi="Arial" w:cs="Arial"/>
                <w:lang w:val="es-CO"/>
              </w:rPr>
              <w:t> </w:t>
            </w:r>
            <w:r w:rsidRPr="00B91B3F">
              <w:rPr>
                <w:rStyle w:val="Textoennegrita"/>
                <w:rFonts w:ascii="Arial" w:hAnsi="Arial" w:cs="Arial"/>
                <w:lang w:val="es-CO"/>
              </w:rPr>
              <w:t>asignación de recursos adicionales</w:t>
            </w:r>
            <w:r w:rsidRPr="00B91B3F">
              <w:rPr>
                <w:rStyle w:val="apple-converted-space"/>
                <w:rFonts w:ascii="Arial" w:hAnsi="Arial" w:cs="Arial"/>
                <w:lang w:val="es-CO"/>
              </w:rPr>
              <w:t> </w:t>
            </w:r>
            <w:r w:rsidRPr="00B91B3F">
              <w:rPr>
                <w:rFonts w:ascii="Arial" w:hAnsi="Arial" w:cs="Arial"/>
                <w:lang w:val="es-CO"/>
              </w:rPr>
              <w:t>para la actualización y mejoramiento del software, con el fin de fortalecer la eficiencia operativa y la calidad en la prestación de servicios a la comunidad.</w:t>
            </w:r>
          </w:p>
        </w:tc>
      </w:tr>
      <w:tr w:rsidR="004F7E6A" w:rsidRPr="00B91B3F" w14:paraId="08A291D8" w14:textId="77777777" w:rsidTr="001B4025">
        <w:trPr>
          <w:trHeight w:val="232"/>
        </w:trPr>
        <w:tc>
          <w:tcPr>
            <w:tcW w:w="8828" w:type="dxa"/>
          </w:tcPr>
          <w:p w14:paraId="59BD16ED" w14:textId="77777777" w:rsidR="006B1E12" w:rsidRPr="00B91B3F" w:rsidRDefault="006B1E12" w:rsidP="006B1E12">
            <w:pPr>
              <w:pStyle w:val="Default"/>
              <w:jc w:val="both"/>
            </w:pPr>
            <w:r w:rsidRPr="00B91B3F">
              <w:rPr>
                <w:b/>
                <w:bCs/>
              </w:rPr>
              <w:lastRenderedPageBreak/>
              <w:t xml:space="preserve">RECOMENDACIONES </w:t>
            </w:r>
          </w:p>
          <w:p w14:paraId="7B6263FB" w14:textId="77777777" w:rsidR="004F7E6A" w:rsidRPr="00B91B3F" w:rsidRDefault="004F7E6A" w:rsidP="004F7E6A">
            <w:pPr>
              <w:pStyle w:val="Default"/>
              <w:jc w:val="both"/>
              <w:rPr>
                <w:lang w:val="es-CO"/>
              </w:rPr>
            </w:pPr>
          </w:p>
        </w:tc>
      </w:tr>
      <w:tr w:rsidR="003335E1" w:rsidRPr="00B91B3F" w14:paraId="5225E944" w14:textId="77777777" w:rsidTr="001B4025">
        <w:trPr>
          <w:trHeight w:val="232"/>
        </w:trPr>
        <w:tc>
          <w:tcPr>
            <w:tcW w:w="8828" w:type="dxa"/>
          </w:tcPr>
          <w:p w14:paraId="593E8FAC" w14:textId="4F0F3CD2" w:rsidR="006B1E12" w:rsidRPr="00B91B3F" w:rsidRDefault="00D9037D" w:rsidP="00A51C8A">
            <w:pPr>
              <w:pStyle w:val="Default"/>
              <w:numPr>
                <w:ilvl w:val="0"/>
                <w:numId w:val="31"/>
              </w:numPr>
              <w:rPr>
                <w:lang w:val="es-CO"/>
              </w:rPr>
            </w:pPr>
            <w:r w:rsidRPr="00B91B3F">
              <w:rPr>
                <w:lang w:val="es-CO"/>
              </w:rPr>
              <w:t>Asignar recursos para el mejoramiento de software de la Empresa Social del Estado Santiago de Tunja y de esta manera garantizar una mayor eficiencia en la prestación de servicios de la entidad a la comunidad.</w:t>
            </w:r>
          </w:p>
          <w:p w14:paraId="2DAD28C3" w14:textId="1B4AA4D4" w:rsidR="00A51C8A" w:rsidRPr="007B26DD" w:rsidRDefault="00A51C8A" w:rsidP="00A51C8A">
            <w:pPr>
              <w:pStyle w:val="NormalWeb"/>
              <w:numPr>
                <w:ilvl w:val="0"/>
                <w:numId w:val="31"/>
              </w:numPr>
              <w:rPr>
                <w:rFonts w:ascii="Arial" w:hAnsi="Arial" w:cs="Arial"/>
                <w:lang w:val="es-CO" w:eastAsia="es-MX"/>
              </w:rPr>
            </w:pPr>
            <w:r w:rsidRPr="007B26DD">
              <w:rPr>
                <w:rStyle w:val="Textoennegrita"/>
                <w:rFonts w:ascii="Arial" w:hAnsi="Arial" w:cs="Arial"/>
                <w:lang w:val="es-CO"/>
              </w:rPr>
              <w:t>Fortalecer la inversión en software</w:t>
            </w:r>
            <w:r w:rsidRPr="007B26DD">
              <w:rPr>
                <w:rFonts w:ascii="Arial" w:hAnsi="Arial" w:cs="Arial"/>
                <w:lang w:val="es-CO"/>
              </w:rPr>
              <w:t>: Asignar recursos para la actualización y mejora del software utilizado en la E.S.E. Santiago de Tunja, garantizando su compatibilidad con las necesidades operativas de la entidad.</w:t>
            </w:r>
          </w:p>
          <w:p w14:paraId="67018971" w14:textId="1A62BC55" w:rsidR="00A51C8A" w:rsidRPr="007B26DD" w:rsidRDefault="00A51C8A" w:rsidP="00A51C8A">
            <w:pPr>
              <w:pStyle w:val="NormalWeb"/>
              <w:numPr>
                <w:ilvl w:val="0"/>
                <w:numId w:val="31"/>
              </w:numPr>
              <w:rPr>
                <w:rFonts w:ascii="Arial" w:hAnsi="Arial" w:cs="Arial"/>
                <w:lang w:val="es-CO"/>
              </w:rPr>
            </w:pPr>
            <w:r w:rsidRPr="007B26DD">
              <w:rPr>
                <w:rStyle w:val="Textoennegrita"/>
                <w:rFonts w:ascii="Arial" w:hAnsi="Arial" w:cs="Arial"/>
                <w:lang w:val="es-CO"/>
              </w:rPr>
              <w:t>Optimizar los mecanismos de control</w:t>
            </w:r>
            <w:r w:rsidRPr="007B26DD">
              <w:rPr>
                <w:rFonts w:ascii="Arial" w:hAnsi="Arial" w:cs="Arial"/>
                <w:lang w:val="es-CO"/>
              </w:rPr>
              <w:t>: Reforzar las políticas de seguridad informática mediante auditorías periódicas y monitoreo continuo del uso de software en los equipos de la entidad.</w:t>
            </w:r>
          </w:p>
          <w:p w14:paraId="4102B4A1" w14:textId="283226B3" w:rsidR="00A51C8A" w:rsidRPr="007B26DD" w:rsidRDefault="00A51C8A" w:rsidP="00A51C8A">
            <w:pPr>
              <w:pStyle w:val="NormalWeb"/>
              <w:numPr>
                <w:ilvl w:val="0"/>
                <w:numId w:val="31"/>
              </w:numPr>
              <w:rPr>
                <w:rFonts w:ascii="Arial" w:hAnsi="Arial" w:cs="Arial"/>
                <w:lang w:val="es-CO"/>
              </w:rPr>
            </w:pPr>
            <w:r w:rsidRPr="007B26DD">
              <w:rPr>
                <w:rStyle w:val="Textoennegrita"/>
                <w:rFonts w:ascii="Arial" w:hAnsi="Arial" w:cs="Arial"/>
                <w:lang w:val="es-CO"/>
              </w:rPr>
              <w:t>Capacitación del personal</w:t>
            </w:r>
            <w:r w:rsidRPr="007B26DD">
              <w:rPr>
                <w:rFonts w:ascii="Arial" w:hAnsi="Arial" w:cs="Arial"/>
                <w:lang w:val="es-CO"/>
              </w:rPr>
              <w:t>: Implementar programas de sensibilización dirigidos a los funcionarios sobre la importancia del uso de software licenciado y las implicaciones legales del incumplimiento de la normativa.</w:t>
            </w:r>
          </w:p>
          <w:p w14:paraId="1FD852A4" w14:textId="6CA53B94" w:rsidR="00A51C8A" w:rsidRPr="007B26DD" w:rsidRDefault="00A51C8A" w:rsidP="00A51C8A">
            <w:pPr>
              <w:pStyle w:val="NormalWeb"/>
              <w:numPr>
                <w:ilvl w:val="0"/>
                <w:numId w:val="31"/>
              </w:numPr>
              <w:rPr>
                <w:rFonts w:ascii="Arial" w:hAnsi="Arial" w:cs="Arial"/>
                <w:lang w:val="es-CO"/>
              </w:rPr>
            </w:pPr>
            <w:r w:rsidRPr="007B26DD">
              <w:rPr>
                <w:rStyle w:val="Textoennegrita"/>
                <w:rFonts w:ascii="Arial" w:hAnsi="Arial" w:cs="Arial"/>
                <w:lang w:val="es-CO"/>
              </w:rPr>
              <w:t>Actualización de normativas internas</w:t>
            </w:r>
            <w:r w:rsidRPr="007B26DD">
              <w:rPr>
                <w:rFonts w:ascii="Arial" w:hAnsi="Arial" w:cs="Arial"/>
                <w:lang w:val="es-CO"/>
              </w:rPr>
              <w:t>: Revisar y actualizar periódicamente el</w:t>
            </w:r>
            <w:r w:rsidRPr="007B26DD">
              <w:rPr>
                <w:rStyle w:val="apple-converted-space"/>
                <w:rFonts w:ascii="Arial" w:hAnsi="Arial" w:cs="Arial"/>
                <w:lang w:val="es-CO"/>
              </w:rPr>
              <w:t> </w:t>
            </w:r>
            <w:r w:rsidRPr="007B26DD">
              <w:rPr>
                <w:rStyle w:val="Textoennegrita"/>
                <w:rFonts w:ascii="Arial" w:hAnsi="Arial" w:cs="Arial"/>
                <w:lang w:val="es-CO"/>
              </w:rPr>
              <w:t>Manual de Políticas de Seguridad y Privacidad de la Información</w:t>
            </w:r>
            <w:r w:rsidRPr="007B26DD">
              <w:rPr>
                <w:rFonts w:ascii="Arial" w:hAnsi="Arial" w:cs="Arial"/>
                <w:lang w:val="es-CO"/>
              </w:rPr>
              <w:t>, asegurando su alineación con las regulaciones nacionales en materia de derechos de autor y seguridad informática.</w:t>
            </w:r>
          </w:p>
          <w:p w14:paraId="48E7225D" w14:textId="63C5DF15" w:rsidR="00A51C8A" w:rsidRPr="007B26DD" w:rsidRDefault="00A51C8A" w:rsidP="00A51C8A">
            <w:pPr>
              <w:pStyle w:val="NormalWeb"/>
              <w:numPr>
                <w:ilvl w:val="0"/>
                <w:numId w:val="31"/>
              </w:numPr>
              <w:rPr>
                <w:rFonts w:ascii="Arial" w:hAnsi="Arial" w:cs="Arial"/>
                <w:lang w:val="es-CO"/>
              </w:rPr>
            </w:pPr>
            <w:r w:rsidRPr="007B26DD">
              <w:rPr>
                <w:rStyle w:val="Textoennegrita"/>
                <w:rFonts w:ascii="Arial" w:hAnsi="Arial" w:cs="Arial"/>
                <w:lang w:val="es-CO"/>
              </w:rPr>
              <w:t>Mejorar la gestión de software en desuso</w:t>
            </w:r>
            <w:r w:rsidRPr="007B26DD">
              <w:rPr>
                <w:rFonts w:ascii="Arial" w:hAnsi="Arial" w:cs="Arial"/>
                <w:lang w:val="es-CO"/>
              </w:rPr>
              <w:t xml:space="preserve">: Implementar un sistema más eficiente para la baja y disposición final de software obsoleto, </w:t>
            </w:r>
            <w:r w:rsidRPr="007B26DD">
              <w:rPr>
                <w:rFonts w:ascii="Arial" w:hAnsi="Arial" w:cs="Arial"/>
                <w:lang w:val="es-CO"/>
              </w:rPr>
              <w:lastRenderedPageBreak/>
              <w:t>asegurando que este proceso cumpla con las normativas vigentes y sea debidamente documentado.</w:t>
            </w:r>
          </w:p>
          <w:p w14:paraId="23BAD90F" w14:textId="4FD610DE" w:rsidR="003335E1" w:rsidRPr="00B91B3F" w:rsidRDefault="003335E1" w:rsidP="00163C07">
            <w:pPr>
              <w:pStyle w:val="Default"/>
              <w:rPr>
                <w:b/>
                <w:lang w:val="es-CO"/>
              </w:rPr>
            </w:pPr>
          </w:p>
        </w:tc>
      </w:tr>
    </w:tbl>
    <w:p w14:paraId="6F389BD4" w14:textId="6191846F" w:rsidR="00666548" w:rsidRPr="00B91B3F" w:rsidRDefault="00666548" w:rsidP="00016BA6">
      <w:pPr>
        <w:rPr>
          <w:rFonts w:cs="Arial"/>
          <w:szCs w:val="24"/>
        </w:rPr>
      </w:pPr>
    </w:p>
    <w:p w14:paraId="4A2B9185" w14:textId="1C64E9CB" w:rsidR="00666548" w:rsidRDefault="00666548" w:rsidP="00666548">
      <w:pPr>
        <w:pStyle w:val="Ttulo"/>
        <w:rPr>
          <w:rFonts w:ascii="Arial" w:hAnsi="Arial" w:cs="Arial"/>
          <w:b/>
          <w:sz w:val="24"/>
          <w:szCs w:val="24"/>
        </w:rPr>
      </w:pPr>
    </w:p>
    <w:p w14:paraId="02744641" w14:textId="1D9E2989" w:rsidR="00B91B3F" w:rsidRDefault="00A51C8A" w:rsidP="00B91B3F">
      <w:r w:rsidRPr="00A51C8A">
        <w:rPr>
          <w:noProof/>
          <w:lang w:val="en-US" w:eastAsia="en-US"/>
        </w:rPr>
        <w:drawing>
          <wp:inline distT="0" distB="0" distL="0" distR="0" wp14:anchorId="57AC3154" wp14:editId="03ED4514">
            <wp:extent cx="1981200" cy="571500"/>
            <wp:effectExtent l="0" t="0" r="0" b="0"/>
            <wp:docPr id="16087179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717972" name=""/>
                    <pic:cNvPicPr/>
                  </pic:nvPicPr>
                  <pic:blipFill>
                    <a:blip r:embed="rId8"/>
                    <a:stretch>
                      <a:fillRect/>
                    </a:stretch>
                  </pic:blipFill>
                  <pic:spPr>
                    <a:xfrm>
                      <a:off x="0" y="0"/>
                      <a:ext cx="1981200" cy="571500"/>
                    </a:xfrm>
                    <a:prstGeom prst="rect">
                      <a:avLst/>
                    </a:prstGeom>
                  </pic:spPr>
                </pic:pic>
              </a:graphicData>
            </a:graphic>
          </wp:inline>
        </w:drawing>
      </w:r>
      <w:bookmarkStart w:id="0" w:name="_GoBack"/>
      <w:bookmarkEnd w:id="0"/>
    </w:p>
    <w:p w14:paraId="46AB5EE2" w14:textId="77777777" w:rsidR="00B91B3F" w:rsidRPr="00B91B3F" w:rsidRDefault="00B91B3F" w:rsidP="00B91B3F"/>
    <w:p w14:paraId="7F977D40" w14:textId="77777777" w:rsidR="00666548" w:rsidRPr="00B91B3F" w:rsidRDefault="00E7195A" w:rsidP="00666548">
      <w:pPr>
        <w:pStyle w:val="Sinespaciado"/>
        <w:rPr>
          <w:rFonts w:ascii="Arial" w:hAnsi="Arial" w:cs="Arial"/>
          <w:sz w:val="24"/>
          <w:szCs w:val="24"/>
        </w:rPr>
      </w:pPr>
      <w:r w:rsidRPr="00B91B3F">
        <w:rPr>
          <w:rFonts w:ascii="Arial" w:hAnsi="Arial" w:cs="Arial"/>
          <w:sz w:val="24"/>
          <w:szCs w:val="24"/>
        </w:rPr>
        <w:t xml:space="preserve">ANGELA HERLENDY PACHECO RINCON </w:t>
      </w:r>
    </w:p>
    <w:p w14:paraId="3DC7F410" w14:textId="3095D84B" w:rsidR="00E318FA" w:rsidRPr="00B91B3F" w:rsidRDefault="00E318FA" w:rsidP="00666548">
      <w:pPr>
        <w:pStyle w:val="Sinespaciado"/>
        <w:rPr>
          <w:rFonts w:ascii="Arial" w:hAnsi="Arial" w:cs="Arial"/>
          <w:sz w:val="24"/>
          <w:szCs w:val="24"/>
        </w:rPr>
      </w:pPr>
      <w:r w:rsidRPr="00B91B3F">
        <w:rPr>
          <w:rFonts w:ascii="Arial" w:hAnsi="Arial" w:cs="Arial"/>
          <w:sz w:val="24"/>
          <w:szCs w:val="24"/>
        </w:rPr>
        <w:t xml:space="preserve">ASESOR CONTROL INTERNO </w:t>
      </w:r>
    </w:p>
    <w:p w14:paraId="5D043DE9" w14:textId="36D59DF0" w:rsidR="004F543C" w:rsidRPr="00B91B3F" w:rsidRDefault="00E318FA" w:rsidP="00666548">
      <w:pPr>
        <w:pStyle w:val="Sinespaciado"/>
        <w:rPr>
          <w:rFonts w:ascii="Arial" w:hAnsi="Arial" w:cs="Arial"/>
          <w:sz w:val="24"/>
          <w:szCs w:val="24"/>
        </w:rPr>
      </w:pPr>
      <w:r w:rsidRPr="00B91B3F">
        <w:rPr>
          <w:rFonts w:ascii="Arial" w:hAnsi="Arial" w:cs="Arial"/>
          <w:sz w:val="24"/>
          <w:szCs w:val="24"/>
        </w:rPr>
        <w:t>E.S.E. SANTIAGO DE TUNJA</w:t>
      </w:r>
    </w:p>
    <w:p w14:paraId="3C18CA11" w14:textId="36453A8C" w:rsidR="003C77CC" w:rsidRPr="00B91B3F" w:rsidRDefault="003C77CC" w:rsidP="00666548">
      <w:pPr>
        <w:pStyle w:val="Sinespaciado"/>
        <w:rPr>
          <w:rFonts w:ascii="Arial" w:hAnsi="Arial" w:cs="Arial"/>
          <w:sz w:val="24"/>
          <w:szCs w:val="24"/>
        </w:rPr>
      </w:pPr>
    </w:p>
    <w:p w14:paraId="18E3EDE5" w14:textId="77777777" w:rsidR="003C77CC" w:rsidRPr="00B91B3F" w:rsidRDefault="003C77CC" w:rsidP="00666548">
      <w:pPr>
        <w:pStyle w:val="Sinespaciado"/>
        <w:rPr>
          <w:rFonts w:ascii="Arial" w:hAnsi="Arial" w:cs="Arial"/>
          <w:sz w:val="24"/>
          <w:szCs w:val="24"/>
        </w:rPr>
      </w:pPr>
    </w:p>
    <w:sectPr w:rsidR="003C77CC" w:rsidRPr="00B91B3F" w:rsidSect="002F5AC3">
      <w:headerReference w:type="even" r:id="rId9"/>
      <w:headerReference w:type="default" r:id="rId10"/>
      <w:footerReference w:type="even" r:id="rId11"/>
      <w:footerReference w:type="default" r:id="rId12"/>
      <w:headerReference w:type="first" r:id="rId13"/>
      <w:footerReference w:type="first" r:id="rId14"/>
      <w:pgSz w:w="12240" w:h="15840"/>
      <w:pgMar w:top="2835"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A065B" w14:textId="77777777" w:rsidR="00296D6F" w:rsidRDefault="00296D6F" w:rsidP="00AE057F">
      <w:r>
        <w:separator/>
      </w:r>
    </w:p>
  </w:endnote>
  <w:endnote w:type="continuationSeparator" w:id="0">
    <w:p w14:paraId="552D8166" w14:textId="77777777" w:rsidR="00296D6F" w:rsidRDefault="00296D6F" w:rsidP="00AE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Jost">
    <w:altName w:val="Times New Roman"/>
    <w:charset w:val="00"/>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2067C" w14:textId="77777777" w:rsidR="00617B31" w:rsidRDefault="00617B3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825AC" w14:textId="2A79AA98" w:rsidR="002B0E1D" w:rsidRDefault="002B0E1D" w:rsidP="00AE057F">
    <w:pPr>
      <w:pStyle w:val="Piedepgina"/>
      <w:rPr>
        <w:rFonts w:ascii="Jost" w:hAnsi="Jost"/>
        <w:color w:val="1F5672" w:themeColor="text2"/>
      </w:rPr>
    </w:pPr>
    <w:r>
      <w:rPr>
        <w:rFonts w:ascii="Jost" w:hAnsi="Jost"/>
        <w:color w:val="1F5672" w:themeColor="text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E53A3" w14:textId="77777777" w:rsidR="00617B31" w:rsidRDefault="00617B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0800C" w14:textId="77777777" w:rsidR="00296D6F" w:rsidRDefault="00296D6F" w:rsidP="00AE057F">
      <w:r>
        <w:separator/>
      </w:r>
    </w:p>
  </w:footnote>
  <w:footnote w:type="continuationSeparator" w:id="0">
    <w:p w14:paraId="656674D3" w14:textId="77777777" w:rsidR="00296D6F" w:rsidRDefault="00296D6F" w:rsidP="00AE05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DB93A" w14:textId="77777777" w:rsidR="00617B31" w:rsidRDefault="00617B3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EF98E" w14:textId="0C1A7B9D" w:rsidR="00AE057F" w:rsidRDefault="0090309A" w:rsidP="0018730E">
    <w:pPr>
      <w:pStyle w:val="Encabezado"/>
      <w:tabs>
        <w:tab w:val="clear" w:pos="4419"/>
        <w:tab w:val="clear" w:pos="8838"/>
        <w:tab w:val="left" w:pos="1488"/>
      </w:tabs>
    </w:pPr>
    <w:r>
      <w:rPr>
        <w:noProof/>
        <w:lang w:val="en-US" w:eastAsia="en-US"/>
      </w:rPr>
      <w:drawing>
        <wp:anchor distT="0" distB="0" distL="114300" distR="114300" simplePos="0" relativeHeight="251658240" behindDoc="1" locked="0" layoutInCell="1" allowOverlap="1" wp14:anchorId="5B5F5CDF" wp14:editId="2DD4D1DA">
          <wp:simplePos x="0" y="0"/>
          <wp:positionH relativeFrom="column">
            <wp:posOffset>-1087755</wp:posOffset>
          </wp:positionH>
          <wp:positionV relativeFrom="paragraph">
            <wp:posOffset>-450215</wp:posOffset>
          </wp:positionV>
          <wp:extent cx="7782799" cy="10071858"/>
          <wp:effectExtent l="0" t="0" r="8890" b="5715"/>
          <wp:wrapNone/>
          <wp:docPr id="11403524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352456"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82799" cy="10071858"/>
                  </a:xfrm>
                  <a:prstGeom prst="rect">
                    <a:avLst/>
                  </a:prstGeom>
                </pic:spPr>
              </pic:pic>
            </a:graphicData>
          </a:graphic>
          <wp14:sizeRelH relativeFrom="page">
            <wp14:pctWidth>0</wp14:pctWidth>
          </wp14:sizeRelH>
          <wp14:sizeRelV relativeFrom="page">
            <wp14:pctHeight>0</wp14:pctHeight>
          </wp14:sizeRelV>
        </wp:anchor>
      </w:drawing>
    </w:r>
    <w:r w:rsidR="0018730E">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92A29" w14:textId="77777777" w:rsidR="00617B31" w:rsidRDefault="00617B3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1D5F8F"/>
    <w:multiLevelType w:val="hybridMultilevel"/>
    <w:tmpl w:val="9B04D7C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A1BFAE"/>
    <w:multiLevelType w:val="hybridMultilevel"/>
    <w:tmpl w:val="9E10608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764AE5B"/>
    <w:multiLevelType w:val="hybridMultilevel"/>
    <w:tmpl w:val="D79B0B1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EB8C98B"/>
    <w:multiLevelType w:val="hybridMultilevel"/>
    <w:tmpl w:val="224040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89"/>
    <w:multiLevelType w:val="singleLevel"/>
    <w:tmpl w:val="93743E5C"/>
    <w:lvl w:ilvl="0">
      <w:start w:val="1"/>
      <w:numFmt w:val="bullet"/>
      <w:pStyle w:val="Listaconvietas"/>
      <w:lvlText w:val=""/>
      <w:lvlJc w:val="left"/>
      <w:pPr>
        <w:tabs>
          <w:tab w:val="num" w:pos="360"/>
        </w:tabs>
        <w:ind w:left="360" w:hanging="360"/>
      </w:pPr>
      <w:rPr>
        <w:rFonts w:ascii="Symbol" w:hAnsi="Symbol" w:hint="default"/>
      </w:rPr>
    </w:lvl>
  </w:abstractNum>
  <w:abstractNum w:abstractNumId="5" w15:restartNumberingAfterBreak="0">
    <w:nsid w:val="0489310A"/>
    <w:multiLevelType w:val="hybridMultilevel"/>
    <w:tmpl w:val="1CC06A52"/>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054852C9"/>
    <w:multiLevelType w:val="hybridMultilevel"/>
    <w:tmpl w:val="43A2220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0C2F0948"/>
    <w:multiLevelType w:val="hybridMultilevel"/>
    <w:tmpl w:val="A1FE042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07C0B9F"/>
    <w:multiLevelType w:val="hybridMultilevel"/>
    <w:tmpl w:val="0B7278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180D21"/>
    <w:multiLevelType w:val="hybridMultilevel"/>
    <w:tmpl w:val="730024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726A852"/>
    <w:multiLevelType w:val="hybridMultilevel"/>
    <w:tmpl w:val="25CED8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F701E4F"/>
    <w:multiLevelType w:val="hybridMultilevel"/>
    <w:tmpl w:val="E3A48C0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19011C7"/>
    <w:multiLevelType w:val="hybridMultilevel"/>
    <w:tmpl w:val="4498E8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845682A"/>
    <w:multiLevelType w:val="hybridMultilevel"/>
    <w:tmpl w:val="77B02B44"/>
    <w:lvl w:ilvl="0" w:tplc="CD38627A">
      <w:start w:val="1"/>
      <w:numFmt w:val="decimal"/>
      <w:lvlText w:val="%1."/>
      <w:lvlJc w:val="left"/>
      <w:pPr>
        <w:ind w:left="360" w:hanging="360"/>
      </w:pPr>
      <w:rPr>
        <w:rFonts w:hint="default"/>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14" w15:restartNumberingAfterBreak="0">
    <w:nsid w:val="3BDE7AB7"/>
    <w:multiLevelType w:val="hybridMultilevel"/>
    <w:tmpl w:val="DCC8908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D040315"/>
    <w:multiLevelType w:val="hybridMultilevel"/>
    <w:tmpl w:val="E2A0B472"/>
    <w:lvl w:ilvl="0" w:tplc="2688B9FC">
      <w:start w:val="1"/>
      <w:numFmt w:val="decimal"/>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2284A44"/>
    <w:multiLevelType w:val="hybridMultilevel"/>
    <w:tmpl w:val="9572D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921709"/>
    <w:multiLevelType w:val="hybridMultilevel"/>
    <w:tmpl w:val="D438109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2A457FF"/>
    <w:multiLevelType w:val="multilevel"/>
    <w:tmpl w:val="EA8821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6F45317"/>
    <w:multiLevelType w:val="hybridMultilevel"/>
    <w:tmpl w:val="7E945CC2"/>
    <w:lvl w:ilvl="0" w:tplc="240A0017">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C90712E"/>
    <w:multiLevelType w:val="hybridMultilevel"/>
    <w:tmpl w:val="835A797A"/>
    <w:lvl w:ilvl="0" w:tplc="240A001B">
      <w:start w:val="1"/>
      <w:numFmt w:val="lowerRoman"/>
      <w:lvlText w:val="%1."/>
      <w:lvlJc w:val="right"/>
      <w:pPr>
        <w:ind w:left="1068" w:hanging="360"/>
      </w:pPr>
      <w:rPr>
        <w:rFont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1" w15:restartNumberingAfterBreak="0">
    <w:nsid w:val="532747EB"/>
    <w:multiLevelType w:val="hybridMultilevel"/>
    <w:tmpl w:val="7E8C5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1E4B28"/>
    <w:multiLevelType w:val="hybridMultilevel"/>
    <w:tmpl w:val="E982DE06"/>
    <w:lvl w:ilvl="0" w:tplc="240A001B">
      <w:start w:val="1"/>
      <w:numFmt w:val="lowerRoman"/>
      <w:lvlText w:val="%1."/>
      <w:lvlJc w:val="right"/>
      <w:pPr>
        <w:ind w:left="1068" w:hanging="360"/>
      </w:pPr>
      <w:rPr>
        <w:rFont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3" w15:restartNumberingAfterBreak="0">
    <w:nsid w:val="5FEE05FA"/>
    <w:multiLevelType w:val="hybridMultilevel"/>
    <w:tmpl w:val="F20659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1CB7501"/>
    <w:multiLevelType w:val="hybridMultilevel"/>
    <w:tmpl w:val="2880FC0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69955B8"/>
    <w:multiLevelType w:val="hybridMultilevel"/>
    <w:tmpl w:val="7F623FC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6D00E6D"/>
    <w:multiLevelType w:val="hybridMultilevel"/>
    <w:tmpl w:val="A5BA7D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36C3BE8"/>
    <w:multiLevelType w:val="hybridMultilevel"/>
    <w:tmpl w:val="4AAAC5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59E7176"/>
    <w:multiLevelType w:val="hybridMultilevel"/>
    <w:tmpl w:val="F81E4F36"/>
    <w:lvl w:ilvl="0" w:tplc="24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9" w15:restartNumberingAfterBreak="0">
    <w:nsid w:val="7A4B5839"/>
    <w:multiLevelType w:val="hybridMultilevel"/>
    <w:tmpl w:val="BBD67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0C77FF"/>
    <w:multiLevelType w:val="hybridMultilevel"/>
    <w:tmpl w:val="6C6E24F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5"/>
  </w:num>
  <w:num w:numId="2">
    <w:abstractNumId w:val="13"/>
  </w:num>
  <w:num w:numId="3">
    <w:abstractNumId w:val="28"/>
  </w:num>
  <w:num w:numId="4">
    <w:abstractNumId w:val="4"/>
  </w:num>
  <w:num w:numId="5">
    <w:abstractNumId w:val="7"/>
  </w:num>
  <w:num w:numId="6">
    <w:abstractNumId w:val="6"/>
  </w:num>
  <w:num w:numId="7">
    <w:abstractNumId w:val="5"/>
  </w:num>
  <w:num w:numId="8">
    <w:abstractNumId w:val="17"/>
  </w:num>
  <w:num w:numId="9">
    <w:abstractNumId w:val="25"/>
  </w:num>
  <w:num w:numId="10">
    <w:abstractNumId w:val="14"/>
  </w:num>
  <w:num w:numId="11">
    <w:abstractNumId w:val="24"/>
  </w:num>
  <w:num w:numId="12">
    <w:abstractNumId w:val="19"/>
  </w:num>
  <w:num w:numId="13">
    <w:abstractNumId w:val="22"/>
  </w:num>
  <w:num w:numId="14">
    <w:abstractNumId w:val="20"/>
  </w:num>
  <w:num w:numId="15">
    <w:abstractNumId w:val="18"/>
  </w:num>
  <w:num w:numId="16">
    <w:abstractNumId w:val="30"/>
  </w:num>
  <w:num w:numId="17">
    <w:abstractNumId w:val="9"/>
  </w:num>
  <w:num w:numId="18">
    <w:abstractNumId w:val="23"/>
  </w:num>
  <w:num w:numId="19">
    <w:abstractNumId w:val="12"/>
  </w:num>
  <w:num w:numId="20">
    <w:abstractNumId w:val="11"/>
  </w:num>
  <w:num w:numId="21">
    <w:abstractNumId w:val="1"/>
  </w:num>
  <w:num w:numId="22">
    <w:abstractNumId w:val="0"/>
  </w:num>
  <w:num w:numId="23">
    <w:abstractNumId w:val="2"/>
  </w:num>
  <w:num w:numId="24">
    <w:abstractNumId w:val="3"/>
  </w:num>
  <w:num w:numId="25">
    <w:abstractNumId w:val="16"/>
  </w:num>
  <w:num w:numId="26">
    <w:abstractNumId w:val="21"/>
  </w:num>
  <w:num w:numId="27">
    <w:abstractNumId w:val="10"/>
  </w:num>
  <w:num w:numId="28">
    <w:abstractNumId w:val="29"/>
  </w:num>
  <w:num w:numId="29">
    <w:abstractNumId w:val="8"/>
  </w:num>
  <w:num w:numId="30">
    <w:abstractNumId w:val="27"/>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57F"/>
    <w:rsid w:val="0001486B"/>
    <w:rsid w:val="00016BA6"/>
    <w:rsid w:val="00037708"/>
    <w:rsid w:val="00071A1B"/>
    <w:rsid w:val="00094007"/>
    <w:rsid w:val="000E3C05"/>
    <w:rsid w:val="000F38B7"/>
    <w:rsid w:val="001156C6"/>
    <w:rsid w:val="00135FF1"/>
    <w:rsid w:val="0015722A"/>
    <w:rsid w:val="00163C07"/>
    <w:rsid w:val="00176851"/>
    <w:rsid w:val="0018730E"/>
    <w:rsid w:val="001926D7"/>
    <w:rsid w:val="001B4025"/>
    <w:rsid w:val="001C44CC"/>
    <w:rsid w:val="001E7917"/>
    <w:rsid w:val="001E7D1D"/>
    <w:rsid w:val="002246C0"/>
    <w:rsid w:val="00250668"/>
    <w:rsid w:val="002835D5"/>
    <w:rsid w:val="00286ADB"/>
    <w:rsid w:val="00296D6F"/>
    <w:rsid w:val="002B0E1D"/>
    <w:rsid w:val="002C40D1"/>
    <w:rsid w:val="002D0F9E"/>
    <w:rsid w:val="002D3F65"/>
    <w:rsid w:val="002E0072"/>
    <w:rsid w:val="002E0889"/>
    <w:rsid w:val="002E2B9B"/>
    <w:rsid w:val="002F5AC3"/>
    <w:rsid w:val="003311CA"/>
    <w:rsid w:val="003335E1"/>
    <w:rsid w:val="00343950"/>
    <w:rsid w:val="00371B84"/>
    <w:rsid w:val="003A26B0"/>
    <w:rsid w:val="003A4677"/>
    <w:rsid w:val="003B48A5"/>
    <w:rsid w:val="003C77CC"/>
    <w:rsid w:val="003D6AE8"/>
    <w:rsid w:val="003F4B37"/>
    <w:rsid w:val="00442FC3"/>
    <w:rsid w:val="004448D0"/>
    <w:rsid w:val="004A45B4"/>
    <w:rsid w:val="004A5394"/>
    <w:rsid w:val="004F543C"/>
    <w:rsid w:val="004F7E6A"/>
    <w:rsid w:val="00510259"/>
    <w:rsid w:val="0052404E"/>
    <w:rsid w:val="005433C5"/>
    <w:rsid w:val="00564206"/>
    <w:rsid w:val="00564CFF"/>
    <w:rsid w:val="00577286"/>
    <w:rsid w:val="00581616"/>
    <w:rsid w:val="005A3EC5"/>
    <w:rsid w:val="005A676D"/>
    <w:rsid w:val="00617B31"/>
    <w:rsid w:val="0062479E"/>
    <w:rsid w:val="006257C9"/>
    <w:rsid w:val="00630A10"/>
    <w:rsid w:val="006448B9"/>
    <w:rsid w:val="00666548"/>
    <w:rsid w:val="00674815"/>
    <w:rsid w:val="00684A43"/>
    <w:rsid w:val="0068706B"/>
    <w:rsid w:val="006A2AA1"/>
    <w:rsid w:val="006A3299"/>
    <w:rsid w:val="006B1E12"/>
    <w:rsid w:val="006F0D4C"/>
    <w:rsid w:val="006F2EE6"/>
    <w:rsid w:val="006F61ED"/>
    <w:rsid w:val="00703F81"/>
    <w:rsid w:val="00713BC6"/>
    <w:rsid w:val="0072364D"/>
    <w:rsid w:val="00740041"/>
    <w:rsid w:val="00794331"/>
    <w:rsid w:val="007B26DD"/>
    <w:rsid w:val="007D7787"/>
    <w:rsid w:val="007E5644"/>
    <w:rsid w:val="0080393E"/>
    <w:rsid w:val="0080407A"/>
    <w:rsid w:val="00841676"/>
    <w:rsid w:val="0085594E"/>
    <w:rsid w:val="008750B2"/>
    <w:rsid w:val="008762BC"/>
    <w:rsid w:val="008968D8"/>
    <w:rsid w:val="00896DF6"/>
    <w:rsid w:val="008A38FA"/>
    <w:rsid w:val="009027AF"/>
    <w:rsid w:val="0090309A"/>
    <w:rsid w:val="00915A6C"/>
    <w:rsid w:val="00956F3C"/>
    <w:rsid w:val="00972E30"/>
    <w:rsid w:val="009865E7"/>
    <w:rsid w:val="009D093A"/>
    <w:rsid w:val="009D1FBC"/>
    <w:rsid w:val="009E6C23"/>
    <w:rsid w:val="00A030AD"/>
    <w:rsid w:val="00A2270F"/>
    <w:rsid w:val="00A253FF"/>
    <w:rsid w:val="00A372E1"/>
    <w:rsid w:val="00A51C8A"/>
    <w:rsid w:val="00AA1AB4"/>
    <w:rsid w:val="00AA6AC4"/>
    <w:rsid w:val="00AB27EC"/>
    <w:rsid w:val="00AB6EFD"/>
    <w:rsid w:val="00AE057F"/>
    <w:rsid w:val="00AE4BEF"/>
    <w:rsid w:val="00AF58CD"/>
    <w:rsid w:val="00B343E5"/>
    <w:rsid w:val="00B67C52"/>
    <w:rsid w:val="00B76669"/>
    <w:rsid w:val="00B774FA"/>
    <w:rsid w:val="00B81F7F"/>
    <w:rsid w:val="00B901E6"/>
    <w:rsid w:val="00B91B3F"/>
    <w:rsid w:val="00B96568"/>
    <w:rsid w:val="00BB5C48"/>
    <w:rsid w:val="00BD45E8"/>
    <w:rsid w:val="00C00E98"/>
    <w:rsid w:val="00C241EB"/>
    <w:rsid w:val="00CA0CFE"/>
    <w:rsid w:val="00CB0C84"/>
    <w:rsid w:val="00CD65C7"/>
    <w:rsid w:val="00CF02B4"/>
    <w:rsid w:val="00D14181"/>
    <w:rsid w:val="00D35D8A"/>
    <w:rsid w:val="00D82C3F"/>
    <w:rsid w:val="00D86F1A"/>
    <w:rsid w:val="00D9037D"/>
    <w:rsid w:val="00D92951"/>
    <w:rsid w:val="00DB682D"/>
    <w:rsid w:val="00DD76E2"/>
    <w:rsid w:val="00DF60E1"/>
    <w:rsid w:val="00E10A4B"/>
    <w:rsid w:val="00E318FA"/>
    <w:rsid w:val="00E524E5"/>
    <w:rsid w:val="00E7195A"/>
    <w:rsid w:val="00E877CF"/>
    <w:rsid w:val="00E95A96"/>
    <w:rsid w:val="00EA7A71"/>
    <w:rsid w:val="00EC15E4"/>
    <w:rsid w:val="00EC3848"/>
    <w:rsid w:val="00F219EB"/>
    <w:rsid w:val="00F416B2"/>
    <w:rsid w:val="00F426B4"/>
    <w:rsid w:val="00F63311"/>
    <w:rsid w:val="00F7009D"/>
    <w:rsid w:val="00FB0F9C"/>
    <w:rsid w:val="00FB296E"/>
    <w:rsid w:val="00FB593F"/>
    <w:rsid w:val="00FF3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C7D63"/>
  <w15:docId w15:val="{1E80BC8F-C6B3-4954-A93F-D7031EA42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06B"/>
    <w:pPr>
      <w:spacing w:after="0" w:line="240" w:lineRule="auto"/>
    </w:pPr>
    <w:rPr>
      <w:rFonts w:ascii="Arial" w:eastAsia="Times New Roman" w:hAnsi="Arial" w:cs="Times New Roman"/>
      <w:sz w:val="24"/>
      <w:szCs w:val="20"/>
      <w:lang w:val="es-CO" w:eastAsia="es-ES"/>
    </w:rPr>
  </w:style>
  <w:style w:type="paragraph" w:styleId="Ttulo1">
    <w:name w:val="heading 1"/>
    <w:basedOn w:val="Normal"/>
    <w:next w:val="Normal"/>
    <w:link w:val="Ttulo1Car"/>
    <w:uiPriority w:val="9"/>
    <w:qFormat/>
    <w:rsid w:val="00CB0C84"/>
    <w:pPr>
      <w:keepNext/>
      <w:keepLines/>
      <w:spacing w:before="480" w:line="276" w:lineRule="auto"/>
      <w:outlineLvl w:val="0"/>
    </w:pPr>
    <w:rPr>
      <w:rFonts w:asciiTheme="majorHAnsi" w:eastAsiaTheme="majorEastAsia" w:hAnsiTheme="majorHAnsi" w:cstheme="majorBidi"/>
      <w:b/>
      <w:bCs/>
      <w:color w:val="0B5388"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057F"/>
    <w:pPr>
      <w:tabs>
        <w:tab w:val="center" w:pos="4419"/>
        <w:tab w:val="right" w:pos="8838"/>
      </w:tabs>
    </w:pPr>
  </w:style>
  <w:style w:type="character" w:customStyle="1" w:styleId="EncabezadoCar">
    <w:name w:val="Encabezado Car"/>
    <w:basedOn w:val="Fuentedeprrafopredeter"/>
    <w:link w:val="Encabezado"/>
    <w:uiPriority w:val="99"/>
    <w:rsid w:val="00AE057F"/>
  </w:style>
  <w:style w:type="paragraph" w:styleId="Piedepgina">
    <w:name w:val="footer"/>
    <w:basedOn w:val="Normal"/>
    <w:link w:val="PiedepginaCar"/>
    <w:uiPriority w:val="99"/>
    <w:unhideWhenUsed/>
    <w:rsid w:val="00AE057F"/>
    <w:pPr>
      <w:tabs>
        <w:tab w:val="center" w:pos="4419"/>
        <w:tab w:val="right" w:pos="8838"/>
      </w:tabs>
    </w:pPr>
  </w:style>
  <w:style w:type="character" w:customStyle="1" w:styleId="PiedepginaCar">
    <w:name w:val="Pie de página Car"/>
    <w:basedOn w:val="Fuentedeprrafopredeter"/>
    <w:link w:val="Piedepgina"/>
    <w:uiPriority w:val="99"/>
    <w:rsid w:val="00AE057F"/>
  </w:style>
  <w:style w:type="character" w:styleId="Hipervnculo">
    <w:name w:val="Hyperlink"/>
    <w:basedOn w:val="Fuentedeprrafopredeter"/>
    <w:uiPriority w:val="99"/>
    <w:unhideWhenUsed/>
    <w:rsid w:val="00AE057F"/>
    <w:rPr>
      <w:color w:val="54A838" w:themeColor="hyperlink"/>
      <w:u w:val="single"/>
    </w:rPr>
  </w:style>
  <w:style w:type="character" w:customStyle="1" w:styleId="Ttulo1Car">
    <w:name w:val="Título 1 Car"/>
    <w:basedOn w:val="Fuentedeprrafopredeter"/>
    <w:link w:val="Ttulo1"/>
    <w:uiPriority w:val="9"/>
    <w:rsid w:val="00CB0C84"/>
    <w:rPr>
      <w:rFonts w:asciiTheme="majorHAnsi" w:eastAsiaTheme="majorEastAsia" w:hAnsiTheme="majorHAnsi" w:cstheme="majorBidi"/>
      <w:b/>
      <w:bCs/>
      <w:color w:val="0B5388" w:themeColor="accent1" w:themeShade="BF"/>
      <w:sz w:val="28"/>
      <w:szCs w:val="28"/>
      <w:lang w:val="es-CO"/>
    </w:rPr>
  </w:style>
  <w:style w:type="paragraph" w:styleId="Prrafodelista">
    <w:name w:val="List Paragraph"/>
    <w:basedOn w:val="Normal"/>
    <w:uiPriority w:val="34"/>
    <w:qFormat/>
    <w:rsid w:val="00CB0C84"/>
    <w:pPr>
      <w:spacing w:after="200" w:line="276" w:lineRule="auto"/>
      <w:ind w:left="720"/>
      <w:contextualSpacing/>
    </w:pPr>
  </w:style>
  <w:style w:type="paragraph" w:styleId="Textoindependiente">
    <w:name w:val="Body Text"/>
    <w:basedOn w:val="Normal"/>
    <w:link w:val="TextoindependienteCar"/>
    <w:rsid w:val="00CB0C84"/>
    <w:pPr>
      <w:suppressAutoHyphens/>
      <w:spacing w:line="200" w:lineRule="atLeast"/>
      <w:jc w:val="both"/>
    </w:pPr>
    <w:rPr>
      <w:rFonts w:ascii="Calibri" w:eastAsia="Calibri" w:hAnsi="Calibri"/>
      <w:szCs w:val="24"/>
      <w:lang w:eastAsia="ar-SA"/>
    </w:rPr>
  </w:style>
  <w:style w:type="character" w:customStyle="1" w:styleId="TextoindependienteCar">
    <w:name w:val="Texto independiente Car"/>
    <w:basedOn w:val="Fuentedeprrafopredeter"/>
    <w:link w:val="Textoindependiente"/>
    <w:rsid w:val="00CB0C84"/>
    <w:rPr>
      <w:rFonts w:ascii="Calibri" w:eastAsia="Calibri" w:hAnsi="Calibri" w:cs="Times New Roman"/>
      <w:sz w:val="24"/>
      <w:szCs w:val="24"/>
      <w:lang w:val="es-CO" w:eastAsia="ar-SA"/>
    </w:rPr>
  </w:style>
  <w:style w:type="paragraph" w:customStyle="1" w:styleId="CM1">
    <w:name w:val="CM1"/>
    <w:basedOn w:val="Normal"/>
    <w:next w:val="Normal"/>
    <w:uiPriority w:val="99"/>
    <w:rsid w:val="00CB0C84"/>
    <w:pPr>
      <w:widowControl w:val="0"/>
      <w:autoSpaceDE w:val="0"/>
      <w:autoSpaceDN w:val="0"/>
      <w:adjustRightInd w:val="0"/>
    </w:pPr>
    <w:rPr>
      <w:rFonts w:ascii="Helvetica" w:hAnsi="Helvetica" w:cs="Helvetica"/>
      <w:szCs w:val="24"/>
      <w:lang w:val="es-ES"/>
    </w:rPr>
  </w:style>
  <w:style w:type="paragraph" w:customStyle="1" w:styleId="CM2">
    <w:name w:val="CM2"/>
    <w:basedOn w:val="Normal"/>
    <w:next w:val="Normal"/>
    <w:uiPriority w:val="99"/>
    <w:rsid w:val="00CB0C84"/>
    <w:pPr>
      <w:widowControl w:val="0"/>
      <w:autoSpaceDE w:val="0"/>
      <w:autoSpaceDN w:val="0"/>
      <w:adjustRightInd w:val="0"/>
      <w:spacing w:line="248" w:lineRule="atLeast"/>
    </w:pPr>
    <w:rPr>
      <w:rFonts w:ascii="Helvetica" w:hAnsi="Helvetica" w:cs="Helvetica"/>
      <w:szCs w:val="24"/>
      <w:lang w:val="es-ES"/>
    </w:rPr>
  </w:style>
  <w:style w:type="paragraph" w:styleId="Sinespaciado">
    <w:name w:val="No Spacing"/>
    <w:link w:val="SinespaciadoCar"/>
    <w:uiPriority w:val="1"/>
    <w:qFormat/>
    <w:rsid w:val="003A26B0"/>
    <w:pPr>
      <w:spacing w:after="0" w:line="240" w:lineRule="auto"/>
    </w:pPr>
    <w:rPr>
      <w:lang w:val="es-419"/>
    </w:rPr>
  </w:style>
  <w:style w:type="paragraph" w:styleId="Textoindependiente2">
    <w:name w:val="Body Text 2"/>
    <w:basedOn w:val="Normal"/>
    <w:link w:val="Textoindependiente2Car"/>
    <w:uiPriority w:val="99"/>
    <w:semiHidden/>
    <w:unhideWhenUsed/>
    <w:rsid w:val="0068706B"/>
    <w:pPr>
      <w:spacing w:after="120" w:line="480" w:lineRule="auto"/>
    </w:pPr>
  </w:style>
  <w:style w:type="character" w:customStyle="1" w:styleId="Textoindependiente2Car">
    <w:name w:val="Texto independiente 2 Car"/>
    <w:basedOn w:val="Fuentedeprrafopredeter"/>
    <w:link w:val="Textoindependiente2"/>
    <w:uiPriority w:val="99"/>
    <w:semiHidden/>
    <w:rsid w:val="0068706B"/>
  </w:style>
  <w:style w:type="paragraph" w:styleId="Listaconvietas">
    <w:name w:val="List Bullet"/>
    <w:basedOn w:val="Normal"/>
    <w:rsid w:val="0068706B"/>
    <w:pPr>
      <w:numPr>
        <w:numId w:val="4"/>
      </w:numPr>
      <w:contextualSpacing/>
    </w:pPr>
  </w:style>
  <w:style w:type="paragraph" w:customStyle="1" w:styleId="Textonotapie1">
    <w:name w:val="Texto nota pie1"/>
    <w:basedOn w:val="Normal"/>
    <w:next w:val="Textonotapie"/>
    <w:link w:val="TextonotapieCar"/>
    <w:unhideWhenUsed/>
    <w:rsid w:val="0068706B"/>
    <w:rPr>
      <w:rFonts w:ascii="Calibri" w:eastAsia="Calibri" w:hAnsi="Calibri"/>
      <w:sz w:val="20"/>
      <w:lang w:eastAsia="en-US"/>
    </w:rPr>
  </w:style>
  <w:style w:type="character" w:customStyle="1" w:styleId="TextonotapieCar">
    <w:name w:val="Texto nota pie Car"/>
    <w:link w:val="Textonotapie1"/>
    <w:rsid w:val="0068706B"/>
    <w:rPr>
      <w:rFonts w:ascii="Calibri" w:eastAsia="Calibri" w:hAnsi="Calibri" w:cs="Times New Roman"/>
      <w:sz w:val="20"/>
      <w:szCs w:val="20"/>
      <w:lang w:val="es-CO"/>
    </w:rPr>
  </w:style>
  <w:style w:type="character" w:styleId="Refdenotaalpie">
    <w:name w:val="footnote reference"/>
    <w:unhideWhenUsed/>
    <w:rsid w:val="0068706B"/>
    <w:rPr>
      <w:vertAlign w:val="superscript"/>
    </w:rPr>
  </w:style>
  <w:style w:type="paragraph" w:styleId="Textonotapie">
    <w:name w:val="footnote text"/>
    <w:basedOn w:val="Normal"/>
    <w:link w:val="TextonotapieCar1"/>
    <w:rsid w:val="0068706B"/>
    <w:rPr>
      <w:sz w:val="20"/>
    </w:rPr>
  </w:style>
  <w:style w:type="character" w:customStyle="1" w:styleId="TextonotapieCar1">
    <w:name w:val="Texto nota pie Car1"/>
    <w:basedOn w:val="Fuentedeprrafopredeter"/>
    <w:link w:val="Textonotapie"/>
    <w:rsid w:val="0068706B"/>
    <w:rPr>
      <w:rFonts w:ascii="Arial" w:eastAsia="Times New Roman" w:hAnsi="Arial" w:cs="Times New Roman"/>
      <w:sz w:val="20"/>
      <w:szCs w:val="20"/>
      <w:lang w:val="es-CO" w:eastAsia="es-ES"/>
    </w:rPr>
  </w:style>
  <w:style w:type="character" w:customStyle="1" w:styleId="SinespaciadoCar">
    <w:name w:val="Sin espaciado Car"/>
    <w:link w:val="Sinespaciado"/>
    <w:uiPriority w:val="1"/>
    <w:rsid w:val="00F219EB"/>
    <w:rPr>
      <w:lang w:val="es-419"/>
    </w:rPr>
  </w:style>
  <w:style w:type="paragraph" w:styleId="Lista">
    <w:name w:val="List"/>
    <w:basedOn w:val="Normal"/>
    <w:rsid w:val="00F219EB"/>
    <w:pPr>
      <w:ind w:left="283" w:hanging="283"/>
    </w:pPr>
    <w:rPr>
      <w:rFonts w:ascii="Times New Roman" w:hAnsi="Times New Roman"/>
      <w:szCs w:val="24"/>
      <w:lang w:val="es-ES"/>
    </w:rPr>
  </w:style>
  <w:style w:type="paragraph" w:customStyle="1" w:styleId="Default">
    <w:name w:val="Default"/>
    <w:rsid w:val="00FB593F"/>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666548"/>
    <w:pPr>
      <w:spacing w:before="100" w:beforeAutospacing="1" w:after="100" w:afterAutospacing="1"/>
    </w:pPr>
    <w:rPr>
      <w:rFonts w:ascii="Times New Roman" w:hAnsi="Times New Roman"/>
      <w:szCs w:val="24"/>
      <w:lang w:val="en-US" w:eastAsia="en-US"/>
    </w:rPr>
  </w:style>
  <w:style w:type="paragraph" w:styleId="Ttulo">
    <w:name w:val="Title"/>
    <w:basedOn w:val="Normal"/>
    <w:next w:val="Normal"/>
    <w:link w:val="TtuloCar"/>
    <w:uiPriority w:val="10"/>
    <w:qFormat/>
    <w:rsid w:val="00666548"/>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66548"/>
    <w:rPr>
      <w:rFonts w:asciiTheme="majorHAnsi" w:eastAsiaTheme="majorEastAsia" w:hAnsiTheme="majorHAnsi" w:cstheme="majorBidi"/>
      <w:spacing w:val="-10"/>
      <w:kern w:val="28"/>
      <w:sz w:val="56"/>
      <w:szCs w:val="56"/>
      <w:lang w:val="es-CO" w:eastAsia="es-ES"/>
    </w:rPr>
  </w:style>
  <w:style w:type="character" w:customStyle="1" w:styleId="apple-converted-space">
    <w:name w:val="apple-converted-space"/>
    <w:basedOn w:val="Fuentedeprrafopredeter"/>
    <w:rsid w:val="00B91B3F"/>
  </w:style>
  <w:style w:type="character" w:styleId="Textoennegrita">
    <w:name w:val="Strong"/>
    <w:basedOn w:val="Fuentedeprrafopredeter"/>
    <w:uiPriority w:val="22"/>
    <w:qFormat/>
    <w:rsid w:val="00B91B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221498">
      <w:bodyDiv w:val="1"/>
      <w:marLeft w:val="0"/>
      <w:marRight w:val="0"/>
      <w:marTop w:val="0"/>
      <w:marBottom w:val="0"/>
      <w:divBdr>
        <w:top w:val="none" w:sz="0" w:space="0" w:color="auto"/>
        <w:left w:val="none" w:sz="0" w:space="0" w:color="auto"/>
        <w:bottom w:val="none" w:sz="0" w:space="0" w:color="auto"/>
        <w:right w:val="none" w:sz="0" w:space="0" w:color="auto"/>
      </w:divBdr>
    </w:div>
    <w:div w:id="1141341288">
      <w:bodyDiv w:val="1"/>
      <w:marLeft w:val="0"/>
      <w:marRight w:val="0"/>
      <w:marTop w:val="0"/>
      <w:marBottom w:val="0"/>
      <w:divBdr>
        <w:top w:val="none" w:sz="0" w:space="0" w:color="auto"/>
        <w:left w:val="none" w:sz="0" w:space="0" w:color="auto"/>
        <w:bottom w:val="none" w:sz="0" w:space="0" w:color="auto"/>
        <w:right w:val="none" w:sz="0" w:space="0" w:color="auto"/>
      </w:divBdr>
    </w:div>
    <w:div w:id="146624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ALCALDIA E.S.E.">
      <a:dk1>
        <a:srgbClr val="262626"/>
      </a:dk1>
      <a:lt1>
        <a:srgbClr val="F0C900"/>
      </a:lt1>
      <a:dk2>
        <a:srgbClr val="1F5672"/>
      </a:dk2>
      <a:lt2>
        <a:srgbClr val="D9EBF4"/>
      </a:lt2>
      <a:accent1>
        <a:srgbClr val="0F70B6"/>
      </a:accent1>
      <a:accent2>
        <a:srgbClr val="35A7BA"/>
      </a:accent2>
      <a:accent3>
        <a:srgbClr val="08B7EB"/>
      </a:accent3>
      <a:accent4>
        <a:srgbClr val="A3ACB2"/>
      </a:accent4>
      <a:accent5>
        <a:srgbClr val="F0C900"/>
      </a:accent5>
      <a:accent6>
        <a:srgbClr val="0F70B6"/>
      </a:accent6>
      <a:hlink>
        <a:srgbClr val="54A838"/>
      </a:hlink>
      <a:folHlink>
        <a:srgbClr val="08B7EB"/>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0B26F-F152-4410-9F47-8A9AB123E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1180</Words>
  <Characters>6726</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Gamer</dc:creator>
  <cp:keywords/>
  <dc:description/>
  <cp:lastModifiedBy>Carlos Manuel Rivera Perea (CGR)</cp:lastModifiedBy>
  <cp:revision>5</cp:revision>
  <cp:lastPrinted>2023-04-17T21:08:00Z</cp:lastPrinted>
  <dcterms:created xsi:type="dcterms:W3CDTF">2025-03-21T19:52:00Z</dcterms:created>
  <dcterms:modified xsi:type="dcterms:W3CDTF">2025-03-21T22:32:00Z</dcterms:modified>
</cp:coreProperties>
</file>