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 w:firstRow="1" w:lastRow="0" w:firstColumn="1" w:lastColumn="0" w:noHBand="0" w:noVBand="1"/>
      </w:tblPr>
      <w:tblGrid>
        <w:gridCol w:w="2198"/>
        <w:gridCol w:w="2245"/>
        <w:gridCol w:w="4385"/>
      </w:tblGrid>
      <w:tr w:rsidR="003335E1" w:rsidRPr="002F3889" w14:paraId="46B978F6" w14:textId="77777777" w:rsidTr="00FB593F">
        <w:trPr>
          <w:trHeight w:val="559"/>
        </w:trPr>
        <w:tc>
          <w:tcPr>
            <w:tcW w:w="8978" w:type="dxa"/>
            <w:gridSpan w:val="3"/>
            <w:tcBorders>
              <w:bottom w:val="single" w:sz="4" w:space="0" w:color="000000"/>
            </w:tcBorders>
            <w:shd w:val="clear" w:color="auto" w:fill="8DB3E2"/>
            <w:vAlign w:val="center"/>
          </w:tcPr>
          <w:p w14:paraId="01B90930" w14:textId="2D63FACC" w:rsidR="00FB593F" w:rsidRPr="002F3889" w:rsidRDefault="00FB593F" w:rsidP="00FB593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D742E3" w:rsidRPr="002F3889" w14:paraId="136539B8" w14:textId="77777777">
              <w:trPr>
                <w:trHeight w:val="112"/>
              </w:trPr>
              <w:tc>
                <w:tcPr>
                  <w:tcW w:w="0" w:type="auto"/>
                </w:tcPr>
                <w:p w14:paraId="0AF45B3F" w14:textId="5B5D3ADB" w:rsidR="00FB593F" w:rsidRPr="002F3889" w:rsidRDefault="00FB593F" w:rsidP="00FB593F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FB593F" w:rsidRPr="002F3889" w14:paraId="433CF7CB" w14:textId="77777777">
                    <w:trPr>
                      <w:trHeight w:val="112"/>
                    </w:trPr>
                    <w:tc>
                      <w:tcPr>
                        <w:tcW w:w="0" w:type="auto"/>
                      </w:tcPr>
                      <w:p w14:paraId="3D280A7A" w14:textId="77777777" w:rsidR="00FB593F" w:rsidRPr="002F3889" w:rsidRDefault="00FB593F" w:rsidP="00FB593F">
                        <w:pPr>
                          <w:pStyle w:val="Default"/>
                        </w:pPr>
                        <w:r w:rsidRPr="002F3889">
                          <w:t xml:space="preserve"> </w:t>
                        </w:r>
                      </w:p>
                      <w:p w14:paraId="3FA1F4E6" w14:textId="6547A918" w:rsidR="00FB593F" w:rsidRPr="002F3889" w:rsidRDefault="00FB593F" w:rsidP="00FB593F">
                        <w:pPr>
                          <w:pStyle w:val="Default"/>
                        </w:pPr>
                      </w:p>
                    </w:tc>
                  </w:tr>
                </w:tbl>
                <w:p w14:paraId="32A23202" w14:textId="7DF256CC" w:rsidR="00FB593F" w:rsidRPr="002F3889" w:rsidRDefault="00FB593F" w:rsidP="00FB593F">
                  <w:pPr>
                    <w:pStyle w:val="Default"/>
                  </w:pPr>
                </w:p>
              </w:tc>
            </w:tr>
          </w:tbl>
          <w:p w14:paraId="55B2C842" w14:textId="02595E04" w:rsidR="003335E1" w:rsidRPr="002F3889" w:rsidRDefault="00081121" w:rsidP="00AB6EFD">
            <w:pPr>
              <w:jc w:val="center"/>
              <w:rPr>
                <w:rFonts w:ascii="Arial" w:hAnsi="Arial" w:cs="Arial"/>
                <w:b/>
              </w:rPr>
            </w:pPr>
            <w:r w:rsidRPr="002F3889">
              <w:rPr>
                <w:rFonts w:ascii="Arial" w:hAnsi="Arial" w:cs="Arial"/>
                <w:b/>
              </w:rPr>
              <w:t>INFORME POLITICA DE RIESGO</w:t>
            </w:r>
          </w:p>
        </w:tc>
      </w:tr>
      <w:tr w:rsidR="003335E1" w:rsidRPr="002F3889" w14:paraId="0F74A036" w14:textId="77777777" w:rsidTr="00AB6EFD">
        <w:trPr>
          <w:trHeight w:val="398"/>
        </w:trPr>
        <w:tc>
          <w:tcPr>
            <w:tcW w:w="2235" w:type="dxa"/>
            <w:vMerge w:val="restart"/>
            <w:shd w:val="clear" w:color="auto" w:fill="C6D9F1"/>
            <w:vAlign w:val="center"/>
          </w:tcPr>
          <w:p w14:paraId="54624397" w14:textId="77777777" w:rsidR="003335E1" w:rsidRPr="002F3889" w:rsidRDefault="003335E1" w:rsidP="00AB6EFD">
            <w:pPr>
              <w:rPr>
                <w:rFonts w:ascii="Arial" w:hAnsi="Arial" w:cs="Arial"/>
              </w:rPr>
            </w:pPr>
            <w:r w:rsidRPr="002F3889">
              <w:rPr>
                <w:rFonts w:ascii="Arial" w:hAnsi="Arial" w:cs="Arial"/>
              </w:rPr>
              <w:t>Asesor de Control Interno:</w:t>
            </w:r>
          </w:p>
        </w:tc>
        <w:tc>
          <w:tcPr>
            <w:tcW w:w="2268" w:type="dxa"/>
            <w:vMerge w:val="restart"/>
            <w:shd w:val="clear" w:color="auto" w:fill="C6D9F1"/>
            <w:vAlign w:val="center"/>
          </w:tcPr>
          <w:p w14:paraId="58C7E9F8" w14:textId="72197661" w:rsidR="003335E1" w:rsidRPr="002F3889" w:rsidRDefault="00794331" w:rsidP="00AB6EFD">
            <w:pPr>
              <w:jc w:val="center"/>
              <w:rPr>
                <w:rFonts w:ascii="Arial" w:hAnsi="Arial" w:cs="Arial"/>
              </w:rPr>
            </w:pPr>
            <w:r w:rsidRPr="002F3889">
              <w:rPr>
                <w:rFonts w:ascii="Arial" w:hAnsi="Arial" w:cs="Arial"/>
              </w:rPr>
              <w:t>ANGELA HERLENDY PACHECO RINCON</w:t>
            </w:r>
          </w:p>
        </w:tc>
        <w:tc>
          <w:tcPr>
            <w:tcW w:w="4475" w:type="dxa"/>
            <w:shd w:val="clear" w:color="auto" w:fill="C6D9F1"/>
            <w:vAlign w:val="center"/>
          </w:tcPr>
          <w:p w14:paraId="0867C170" w14:textId="03F0FB03" w:rsidR="003335E1" w:rsidRPr="002F3889" w:rsidRDefault="003335E1" w:rsidP="00AB6EFD">
            <w:pPr>
              <w:rPr>
                <w:rFonts w:ascii="Arial" w:hAnsi="Arial" w:cs="Arial"/>
              </w:rPr>
            </w:pPr>
            <w:r w:rsidRPr="002F3889">
              <w:rPr>
                <w:rFonts w:ascii="Arial" w:hAnsi="Arial" w:cs="Arial"/>
              </w:rPr>
              <w:t xml:space="preserve">Periodo evaluado: </w:t>
            </w:r>
            <w:r w:rsidR="00343E55" w:rsidRPr="002F3889">
              <w:rPr>
                <w:rFonts w:ascii="Arial" w:hAnsi="Arial" w:cs="Arial"/>
              </w:rPr>
              <w:t>Abril</w:t>
            </w:r>
          </w:p>
        </w:tc>
      </w:tr>
      <w:tr w:rsidR="003335E1" w:rsidRPr="002F3889" w14:paraId="417454AC" w14:textId="77777777" w:rsidTr="00AB6EFD">
        <w:tc>
          <w:tcPr>
            <w:tcW w:w="2235" w:type="dxa"/>
            <w:vMerge/>
            <w:shd w:val="clear" w:color="auto" w:fill="C6D9F1"/>
            <w:vAlign w:val="center"/>
          </w:tcPr>
          <w:p w14:paraId="0832E5C7" w14:textId="77777777" w:rsidR="003335E1" w:rsidRPr="002F3889" w:rsidRDefault="003335E1" w:rsidP="00AB6EF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shd w:val="clear" w:color="auto" w:fill="C6D9F1"/>
            <w:vAlign w:val="center"/>
          </w:tcPr>
          <w:p w14:paraId="23A5B293" w14:textId="77777777" w:rsidR="003335E1" w:rsidRPr="002F3889" w:rsidRDefault="003335E1" w:rsidP="00AB6EFD">
            <w:pPr>
              <w:rPr>
                <w:rFonts w:ascii="Arial" w:hAnsi="Arial" w:cs="Arial"/>
              </w:rPr>
            </w:pPr>
          </w:p>
        </w:tc>
        <w:tc>
          <w:tcPr>
            <w:tcW w:w="4475" w:type="dxa"/>
            <w:shd w:val="clear" w:color="auto" w:fill="C6D9F1"/>
            <w:vAlign w:val="center"/>
          </w:tcPr>
          <w:p w14:paraId="26C07C7B" w14:textId="3F604FDC" w:rsidR="003335E1" w:rsidRPr="002F3889" w:rsidRDefault="003335E1" w:rsidP="003335E1">
            <w:pPr>
              <w:rPr>
                <w:rFonts w:ascii="Arial" w:hAnsi="Arial" w:cs="Arial"/>
              </w:rPr>
            </w:pPr>
            <w:r w:rsidRPr="002F3889">
              <w:rPr>
                <w:rFonts w:ascii="Arial" w:hAnsi="Arial" w:cs="Arial"/>
              </w:rPr>
              <w:t xml:space="preserve">Fecha de elaboración:  </w:t>
            </w:r>
            <w:r w:rsidR="00343E55" w:rsidRPr="002F3889">
              <w:rPr>
                <w:rFonts w:ascii="Arial" w:hAnsi="Arial" w:cs="Arial"/>
              </w:rPr>
              <w:t>Abril  14</w:t>
            </w:r>
            <w:r w:rsidR="003311CA" w:rsidRPr="002F3889">
              <w:rPr>
                <w:rFonts w:ascii="Arial" w:hAnsi="Arial" w:cs="Arial"/>
              </w:rPr>
              <w:t xml:space="preserve"> de 2025.</w:t>
            </w:r>
          </w:p>
        </w:tc>
      </w:tr>
    </w:tbl>
    <w:p w14:paraId="26E12A18" w14:textId="77777777" w:rsidR="003335E1" w:rsidRPr="002F3889" w:rsidRDefault="003335E1" w:rsidP="003335E1">
      <w:pPr>
        <w:contextualSpacing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8"/>
      </w:tblGrid>
      <w:tr w:rsidR="003335E1" w:rsidRPr="002F3889" w14:paraId="7886329F" w14:textId="77777777" w:rsidTr="001B4025">
        <w:trPr>
          <w:trHeight w:val="362"/>
        </w:trPr>
        <w:tc>
          <w:tcPr>
            <w:tcW w:w="8828" w:type="dxa"/>
          </w:tcPr>
          <w:p w14:paraId="2718ABDE" w14:textId="60457DC8" w:rsidR="00B67C52" w:rsidRPr="002F3889" w:rsidRDefault="003335E1" w:rsidP="002F3889">
            <w:pPr>
              <w:spacing w:after="120"/>
              <w:rPr>
                <w:rFonts w:ascii="Arial" w:hAnsi="Arial" w:cs="Arial"/>
                <w:b/>
              </w:rPr>
            </w:pPr>
            <w:r w:rsidRPr="002F3889">
              <w:rPr>
                <w:rFonts w:ascii="Arial" w:hAnsi="Arial" w:cs="Arial"/>
                <w:b/>
              </w:rPr>
              <w:t>INTRODUCCIÓN</w:t>
            </w:r>
          </w:p>
        </w:tc>
      </w:tr>
      <w:tr w:rsidR="003335E1" w:rsidRPr="002F3889" w14:paraId="31F21CB8" w14:textId="77777777" w:rsidTr="001B4025">
        <w:tc>
          <w:tcPr>
            <w:tcW w:w="8828" w:type="dxa"/>
          </w:tcPr>
          <w:p w14:paraId="77A806F4" w14:textId="77777777" w:rsidR="001B4025" w:rsidRPr="002F3889" w:rsidRDefault="001B4025" w:rsidP="002F3889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12"/>
            </w:tblGrid>
            <w:tr w:rsidR="001B4025" w:rsidRPr="002F3889" w14:paraId="2C1AE1A4" w14:textId="77777777" w:rsidTr="001B4025">
              <w:trPr>
                <w:trHeight w:val="1241"/>
              </w:trPr>
              <w:tc>
                <w:tcPr>
                  <w:tcW w:w="8612" w:type="dxa"/>
                </w:tcPr>
                <w:p w14:paraId="214B4263" w14:textId="77777777" w:rsidR="00E77E4B" w:rsidRPr="002F3889" w:rsidRDefault="00E77E4B" w:rsidP="002F3889">
                  <w:pPr>
                    <w:jc w:val="both"/>
                    <w:rPr>
                      <w:rFonts w:ascii="Arial" w:hAnsi="Arial" w:cs="Arial"/>
                    </w:rPr>
                  </w:pPr>
                  <w:r w:rsidRPr="002F3889">
                    <w:rPr>
                      <w:rFonts w:ascii="Arial" w:hAnsi="Arial" w:cs="Arial"/>
                    </w:rPr>
                    <w:t>En cumplimiento a los programas de Transparencia y Ética Publica Plan</w:t>
                  </w:r>
                </w:p>
                <w:p w14:paraId="5F3E8B9B" w14:textId="77777777" w:rsidR="00E77E4B" w:rsidRPr="002F3889" w:rsidRDefault="00E77E4B" w:rsidP="002F3889">
                  <w:pPr>
                    <w:jc w:val="both"/>
                    <w:rPr>
                      <w:rFonts w:ascii="Arial" w:hAnsi="Arial" w:cs="Arial"/>
                    </w:rPr>
                  </w:pPr>
                  <w:r w:rsidRPr="002F3889">
                    <w:rPr>
                      <w:rFonts w:ascii="Arial" w:hAnsi="Arial" w:cs="Arial"/>
                    </w:rPr>
                    <w:t>Anticorrupción y de Atención al Ciudadano y el Plan Anual de Auditorias dela</w:t>
                  </w:r>
                </w:p>
                <w:p w14:paraId="7D7EA99F" w14:textId="77777777" w:rsidR="00E77E4B" w:rsidRPr="002F3889" w:rsidRDefault="00E77E4B" w:rsidP="002F3889">
                  <w:pPr>
                    <w:jc w:val="both"/>
                    <w:rPr>
                      <w:rFonts w:ascii="Arial" w:hAnsi="Arial" w:cs="Arial"/>
                    </w:rPr>
                  </w:pPr>
                  <w:r w:rsidRPr="002F3889">
                    <w:rPr>
                      <w:rFonts w:ascii="Arial" w:hAnsi="Arial" w:cs="Arial"/>
                    </w:rPr>
                    <w:t>Oficina de Control Interno 2024 con el fin de promover la cultura de legalidad e</w:t>
                  </w:r>
                </w:p>
                <w:p w14:paraId="7F3E43AD" w14:textId="77777777" w:rsidR="00E77E4B" w:rsidRPr="002F3889" w:rsidRDefault="00E77E4B" w:rsidP="002F3889">
                  <w:pPr>
                    <w:jc w:val="both"/>
                    <w:rPr>
                      <w:rFonts w:ascii="Arial" w:hAnsi="Arial" w:cs="Arial"/>
                    </w:rPr>
                  </w:pPr>
                  <w:r w:rsidRPr="002F3889">
                    <w:rPr>
                      <w:rFonts w:ascii="Arial" w:hAnsi="Arial" w:cs="Arial"/>
                    </w:rPr>
                    <w:t>identificar, medir, controlar y monitorear constantemente el riesgo de corrupción</w:t>
                  </w:r>
                </w:p>
                <w:p w14:paraId="12B73AE9" w14:textId="77777777" w:rsidR="00E77E4B" w:rsidRPr="002F3889" w:rsidRDefault="00E77E4B" w:rsidP="002F3889">
                  <w:pPr>
                    <w:jc w:val="both"/>
                    <w:rPr>
                      <w:rFonts w:ascii="Arial" w:hAnsi="Arial" w:cs="Arial"/>
                    </w:rPr>
                  </w:pPr>
                  <w:r w:rsidRPr="002F3889">
                    <w:rPr>
                      <w:rFonts w:ascii="Arial" w:hAnsi="Arial" w:cs="Arial"/>
                    </w:rPr>
                    <w:t>de la Empresa Social del Estado Santiago de Tunja.</w:t>
                  </w:r>
                </w:p>
                <w:p w14:paraId="4968D434" w14:textId="77777777" w:rsidR="00510A23" w:rsidRPr="002F3889" w:rsidRDefault="00510A23" w:rsidP="002F3889">
                  <w:pPr>
                    <w:jc w:val="both"/>
                    <w:rPr>
                      <w:rFonts w:ascii="Arial" w:hAnsi="Arial" w:cs="Arial"/>
                    </w:rPr>
                  </w:pPr>
                  <w:r w:rsidRPr="002F3889">
                    <w:rPr>
                      <w:rFonts w:ascii="Arial" w:hAnsi="Arial" w:cs="Arial"/>
                    </w:rPr>
                    <w:t>Por la anterior disposición se presenta el resultado de la revisión efectuada por</w:t>
                  </w:r>
                </w:p>
                <w:p w14:paraId="55A1BA69" w14:textId="77777777" w:rsidR="00510A23" w:rsidRPr="002F3889" w:rsidRDefault="00510A23" w:rsidP="002F3889">
                  <w:pPr>
                    <w:jc w:val="both"/>
                    <w:rPr>
                      <w:rFonts w:ascii="Arial" w:hAnsi="Arial" w:cs="Arial"/>
                    </w:rPr>
                  </w:pPr>
                  <w:r w:rsidRPr="002F3889">
                    <w:rPr>
                      <w:rFonts w:ascii="Arial" w:hAnsi="Arial" w:cs="Arial"/>
                    </w:rPr>
                    <w:t>la Oficina de Control Interno; verificación de cumplimiento del documento de la</w:t>
                  </w:r>
                </w:p>
                <w:p w14:paraId="38794116" w14:textId="77777777" w:rsidR="00510A23" w:rsidRPr="002F3889" w:rsidRDefault="00510A23" w:rsidP="002F3889">
                  <w:pPr>
                    <w:jc w:val="both"/>
                    <w:rPr>
                      <w:rFonts w:ascii="Arial" w:hAnsi="Arial" w:cs="Arial"/>
                    </w:rPr>
                  </w:pPr>
                  <w:r w:rsidRPr="002F3889">
                    <w:rPr>
                      <w:rFonts w:ascii="Arial" w:hAnsi="Arial" w:cs="Arial"/>
                    </w:rPr>
                    <w:t>política de administración del riesgo de acuerdo con la guía para la</w:t>
                  </w:r>
                </w:p>
                <w:p w14:paraId="1EC2B4E6" w14:textId="77777777" w:rsidR="00510A23" w:rsidRPr="002F3889" w:rsidRDefault="00510A23" w:rsidP="002F3889">
                  <w:pPr>
                    <w:jc w:val="both"/>
                    <w:rPr>
                      <w:rFonts w:ascii="Arial" w:hAnsi="Arial" w:cs="Arial"/>
                    </w:rPr>
                  </w:pPr>
                  <w:r w:rsidRPr="002F3889">
                    <w:rPr>
                      <w:rFonts w:ascii="Arial" w:hAnsi="Arial" w:cs="Arial"/>
                    </w:rPr>
                    <w:t>administración del riesgo y el diseño de controles en entidades públicas – versión</w:t>
                  </w:r>
                </w:p>
                <w:p w14:paraId="2EA28F1B" w14:textId="77777777" w:rsidR="00510A23" w:rsidRPr="002F3889" w:rsidRDefault="00510A23" w:rsidP="002F3889">
                  <w:pPr>
                    <w:jc w:val="both"/>
                    <w:rPr>
                      <w:rFonts w:ascii="Arial" w:hAnsi="Arial" w:cs="Arial"/>
                    </w:rPr>
                  </w:pPr>
                  <w:r w:rsidRPr="002F3889">
                    <w:rPr>
                      <w:rFonts w:ascii="Arial" w:hAnsi="Arial" w:cs="Arial"/>
                    </w:rPr>
                    <w:t>6 – función pública.</w:t>
                  </w:r>
                </w:p>
                <w:p w14:paraId="16E85A9C" w14:textId="77777777" w:rsidR="00510A23" w:rsidRPr="002F3889" w:rsidRDefault="00510A23" w:rsidP="002F3889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4DE6D8E0" w14:textId="51069EAD" w:rsidR="00B901E6" w:rsidRPr="002F3889" w:rsidRDefault="00B901E6" w:rsidP="002F388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0B59A6C" w14:textId="06D585E1" w:rsidR="003335E1" w:rsidRPr="002F3889" w:rsidRDefault="003335E1" w:rsidP="002F388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335E1" w:rsidRPr="002F3889" w14:paraId="4EDC6EB3" w14:textId="77777777" w:rsidTr="001B4025">
        <w:tc>
          <w:tcPr>
            <w:tcW w:w="8828" w:type="dxa"/>
          </w:tcPr>
          <w:p w14:paraId="30447F82" w14:textId="77777777" w:rsidR="003335E1" w:rsidRPr="002F3889" w:rsidRDefault="003335E1" w:rsidP="002F3889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2F3889">
              <w:rPr>
                <w:rFonts w:ascii="Arial" w:hAnsi="Arial" w:cs="Arial"/>
                <w:b/>
              </w:rPr>
              <w:t>OBJETIVO</w:t>
            </w:r>
          </w:p>
        </w:tc>
      </w:tr>
      <w:tr w:rsidR="003335E1" w:rsidRPr="002F3889" w14:paraId="5A42ED70" w14:textId="77777777" w:rsidTr="001B4025">
        <w:tc>
          <w:tcPr>
            <w:tcW w:w="8828" w:type="dxa"/>
          </w:tcPr>
          <w:p w14:paraId="4D565100" w14:textId="77777777" w:rsidR="00510A23" w:rsidRPr="002F3889" w:rsidRDefault="00510A2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Establecer los lineamientos necesarios para realizar una adecuada Administración</w:t>
            </w:r>
          </w:p>
          <w:p w14:paraId="036E3B61" w14:textId="77777777" w:rsidR="00510A23" w:rsidRPr="002F3889" w:rsidRDefault="00510A2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de los Riesgos de Gestión, Riesgos de Corrupción, Riesgos misionales, entre otros,</w:t>
            </w:r>
          </w:p>
          <w:p w14:paraId="36E8AB91" w14:textId="77777777" w:rsidR="00510A23" w:rsidRPr="002F3889" w:rsidRDefault="00510A2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a través del conocimiento del modelo de operación de la entidad, su estructura y</w:t>
            </w:r>
          </w:p>
          <w:p w14:paraId="170A9D6A" w14:textId="77777777" w:rsidR="00510A23" w:rsidRPr="002F3889" w:rsidRDefault="00510A2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los elementos básicos para la identificación, análisis, tratamiento y control de los</w:t>
            </w:r>
          </w:p>
          <w:p w14:paraId="0D45A6C8" w14:textId="77777777" w:rsidR="00510A23" w:rsidRPr="002F3889" w:rsidRDefault="00510A2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riesgos a los procesos de la entidad. Con el fin de orientar la toma de decisiones</w:t>
            </w:r>
          </w:p>
          <w:p w14:paraId="441BEDC5" w14:textId="77777777" w:rsidR="00510A23" w:rsidRPr="002F3889" w:rsidRDefault="00510A2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oportunas y minimizar efectos adversos al interior de la entidad y promover el</w:t>
            </w:r>
          </w:p>
          <w:p w14:paraId="7E7D715C" w14:textId="77777777" w:rsidR="00510A23" w:rsidRPr="002F3889" w:rsidRDefault="00510A2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mejoramiento continuo de la entidad, de esta forma asegurar el cumplimiento de</w:t>
            </w:r>
          </w:p>
          <w:p w14:paraId="2D72CB9C" w14:textId="77777777" w:rsidR="00510A23" w:rsidRPr="002F3889" w:rsidRDefault="00510A2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los objetivos institucionales y garantizar la prestación de los servicios priorizando</w:t>
            </w:r>
          </w:p>
          <w:p w14:paraId="27F9FCCF" w14:textId="77777777" w:rsidR="00510A23" w:rsidRPr="002F3889" w:rsidRDefault="00510A2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la mejora o el mantenimiento de la salud de los usuarios.</w:t>
            </w:r>
          </w:p>
          <w:p w14:paraId="1CB80274" w14:textId="0701062B" w:rsidR="003335E1" w:rsidRPr="002F3889" w:rsidRDefault="003335E1" w:rsidP="002F388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1B4025" w:rsidRPr="002F3889" w14:paraId="6E214981" w14:textId="77777777" w:rsidTr="001B4025">
        <w:tc>
          <w:tcPr>
            <w:tcW w:w="8828" w:type="dxa"/>
          </w:tcPr>
          <w:p w14:paraId="3D407DA7" w14:textId="6E530462" w:rsidR="001B4025" w:rsidRPr="002F3889" w:rsidRDefault="001B4025" w:rsidP="002F3889">
            <w:pPr>
              <w:spacing w:after="120"/>
              <w:jc w:val="both"/>
              <w:rPr>
                <w:rFonts w:ascii="Arial" w:hAnsi="Arial" w:cs="Arial"/>
              </w:rPr>
            </w:pPr>
            <w:r w:rsidRPr="002F3889">
              <w:rPr>
                <w:rFonts w:ascii="Arial" w:hAnsi="Arial" w:cs="Arial"/>
                <w:b/>
              </w:rPr>
              <w:lastRenderedPageBreak/>
              <w:t>ALCANCE</w:t>
            </w:r>
          </w:p>
        </w:tc>
      </w:tr>
      <w:tr w:rsidR="001B4025" w:rsidRPr="002F3889" w14:paraId="09A0A587" w14:textId="77777777" w:rsidTr="001B4025">
        <w:tc>
          <w:tcPr>
            <w:tcW w:w="8828" w:type="dxa"/>
          </w:tcPr>
          <w:p w14:paraId="4C739825" w14:textId="45D63831" w:rsidR="001B4025" w:rsidRPr="002F3889" w:rsidRDefault="00510A2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El alcance de la Política de Gestión de Riesgos es vinculante trasversalmente a</w:t>
            </w:r>
            <w:r w:rsidR="00AF334B" w:rsidRPr="002F3889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Pr="002F3889">
              <w:rPr>
                <w:rFonts w:ascii="Arial" w:hAnsi="Arial" w:cs="Arial"/>
                <w:sz w:val="24"/>
                <w:szCs w:val="24"/>
              </w:rPr>
              <w:t>oda la organización y sus procesos estratégicos de apoyo, de evaluación y</w:t>
            </w:r>
            <w:r w:rsidR="00AF334B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misionales, desde la Junta Directiva hasta el plan de desarrollo institucional</w:t>
            </w:r>
            <w:r w:rsidR="00AF334B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incluyendo al nivel Operativo y las actividades diarias generadas para la tención</w:t>
            </w:r>
            <w:r w:rsidR="00AF334B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de los usuarios en cada una de las sedes habilitadas y en general la misión de</w:t>
            </w:r>
            <w:r w:rsidR="00AF334B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la  ESE.</w:t>
            </w:r>
          </w:p>
        </w:tc>
      </w:tr>
      <w:tr w:rsidR="0080407A" w:rsidRPr="002F3889" w14:paraId="6B6A832A" w14:textId="77777777" w:rsidTr="001B4025">
        <w:tc>
          <w:tcPr>
            <w:tcW w:w="8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8"/>
            </w:tblGrid>
            <w:tr w:rsidR="0080407A" w:rsidRPr="002F3889" w14:paraId="3133017E" w14:textId="77777777" w:rsidTr="00AB6EFD">
              <w:trPr>
                <w:trHeight w:val="103"/>
              </w:trPr>
              <w:tc>
                <w:tcPr>
                  <w:tcW w:w="1928" w:type="dxa"/>
                </w:tcPr>
                <w:p w14:paraId="5FA0A6FC" w14:textId="035AA213" w:rsidR="0080407A" w:rsidRPr="002F3889" w:rsidRDefault="0080407A" w:rsidP="002F3889">
                  <w:pPr>
                    <w:pStyle w:val="Default"/>
                    <w:jc w:val="both"/>
                  </w:pPr>
                  <w:r w:rsidRPr="002F3889">
                    <w:rPr>
                      <w:b/>
                      <w:bCs/>
                    </w:rPr>
                    <w:t>NORMATIVI</w:t>
                  </w:r>
                  <w:r w:rsidR="00B91B3F" w:rsidRPr="002F3889">
                    <w:rPr>
                      <w:b/>
                      <w:bCs/>
                    </w:rPr>
                    <w:t>DA</w:t>
                  </w:r>
                </w:p>
              </w:tc>
            </w:tr>
          </w:tbl>
          <w:p w14:paraId="0A6BFA35" w14:textId="0D54F5E9" w:rsidR="0080407A" w:rsidRPr="002F3889" w:rsidRDefault="0080407A" w:rsidP="002F3889">
            <w:pPr>
              <w:pStyle w:val="Default"/>
              <w:jc w:val="both"/>
            </w:pPr>
          </w:p>
        </w:tc>
      </w:tr>
      <w:tr w:rsidR="003335E1" w:rsidRPr="002F3889" w14:paraId="75EBD669" w14:textId="77777777" w:rsidTr="001B4025">
        <w:tc>
          <w:tcPr>
            <w:tcW w:w="8828" w:type="dxa"/>
          </w:tcPr>
          <w:p w14:paraId="4F12FB11" w14:textId="77777777" w:rsidR="00D742E3" w:rsidRPr="002F3889" w:rsidRDefault="00D742E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B9E646" w14:textId="2DE8E9B9" w:rsidR="00D742E3" w:rsidRPr="002F3889" w:rsidRDefault="00D742E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Que los artículos 209 y 269 de la Constitución Política de Colombia, establecen</w:t>
            </w:r>
            <w:r w:rsidR="00AF334B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la existencia de un Control Interno para las entidades de los diferentes niveles</w:t>
            </w:r>
            <w:r w:rsidR="00AF334B" w:rsidRPr="002F3889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Pr="002F3889">
              <w:rPr>
                <w:rFonts w:ascii="Arial" w:hAnsi="Arial" w:cs="Arial"/>
                <w:sz w:val="24"/>
                <w:szCs w:val="24"/>
              </w:rPr>
              <w:t>e la Administración Pública las cuales están obligadas a diseñar y aplicar, según</w:t>
            </w:r>
            <w:r w:rsidR="00AF334B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la naturaleza de sus funciones métodos y procedimientos de Control Interno de</w:t>
            </w:r>
            <w:r w:rsidR="00AF334B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conformidad a con lo que disponga la Ley.</w:t>
            </w:r>
          </w:p>
          <w:p w14:paraId="1804FE59" w14:textId="77777777" w:rsidR="00AF334B" w:rsidRPr="002F3889" w:rsidRDefault="00AF334B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E63DBF" w14:textId="5016416B" w:rsidR="00D742E3" w:rsidRPr="002F3889" w:rsidRDefault="00D742E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Que el literal a. del artículo 2 de la ley 87 de 1993, dispone los objetivos del</w:t>
            </w:r>
            <w:r w:rsidR="00AF334B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sistema de Control Interno.</w:t>
            </w:r>
          </w:p>
          <w:p w14:paraId="4E14F0CC" w14:textId="77777777" w:rsidR="00651AFF" w:rsidRPr="002F3889" w:rsidRDefault="00651AFF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BFE7A9" w14:textId="3E4667D3" w:rsidR="00D742E3" w:rsidRPr="002F3889" w:rsidRDefault="00D742E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Que el decreto único reglamentario 1083 de 2015, de Función pública en</w:t>
            </w:r>
            <w:r w:rsidR="00651AFF" w:rsidRPr="002F3889">
              <w:rPr>
                <w:rFonts w:ascii="Arial" w:hAnsi="Arial" w:cs="Arial"/>
                <w:sz w:val="24"/>
                <w:szCs w:val="24"/>
              </w:rPr>
              <w:t xml:space="preserve"> su </w:t>
            </w:r>
            <w:r w:rsidRPr="002F3889">
              <w:rPr>
                <w:rFonts w:ascii="Arial" w:hAnsi="Arial" w:cs="Arial"/>
                <w:sz w:val="24"/>
                <w:szCs w:val="24"/>
              </w:rPr>
              <w:t>Capítulo 5: elementos técnicos y administrativos que fortalezcan el sistema de</w:t>
            </w:r>
          </w:p>
          <w:p w14:paraId="3F272A97" w14:textId="3B771B67" w:rsidR="00D742E3" w:rsidRPr="002F3889" w:rsidRDefault="00D742E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control interno de las entidades y organismos del estado, en su Artícul</w:t>
            </w:r>
            <w:r w:rsidR="00651AFF" w:rsidRPr="002F3889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2F3889">
              <w:rPr>
                <w:rFonts w:ascii="Arial" w:hAnsi="Arial" w:cs="Arial"/>
                <w:sz w:val="24"/>
                <w:szCs w:val="24"/>
              </w:rPr>
              <w:t>2.2.21.5.4</w:t>
            </w:r>
          </w:p>
          <w:p w14:paraId="0E5C5674" w14:textId="5B7EE39E" w:rsidR="00D742E3" w:rsidRPr="002F3889" w:rsidRDefault="00D742E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Administración de riesgos, señala es parte integral del fortalecimiento del sistema</w:t>
            </w:r>
            <w:r w:rsidR="00AF334B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de Control Interno en las entidades públicas; que las autoridades correspondientes</w:t>
            </w:r>
            <w:r w:rsidR="00651AFF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establecerán, aplicarán políticas y la Administración de Riesgo.</w:t>
            </w:r>
          </w:p>
          <w:p w14:paraId="3DFD534F" w14:textId="77777777" w:rsidR="007740FD" w:rsidRPr="002F3889" w:rsidRDefault="007740FD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77AE85" w14:textId="77777777" w:rsidR="007740FD" w:rsidRPr="002F3889" w:rsidRDefault="00D742E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Que el Decreto único reglamentario en salud 780 de 2016, en su artículo</w:t>
            </w:r>
            <w:r w:rsidR="00651AFF" w:rsidRPr="002F3889">
              <w:rPr>
                <w:rFonts w:ascii="Arial" w:hAnsi="Arial" w:cs="Arial"/>
                <w:sz w:val="24"/>
                <w:szCs w:val="24"/>
              </w:rPr>
              <w:t xml:space="preserve"> 2.5.3.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>8.4.4.2</w:t>
            </w:r>
            <w:r w:rsidRPr="002F3889">
              <w:rPr>
                <w:rFonts w:ascii="Arial" w:hAnsi="Arial" w:cs="Arial"/>
                <w:sz w:val="24"/>
                <w:szCs w:val="24"/>
              </w:rPr>
              <w:t>, dispone que toda Empresa Social del Estado deberá organizar el</w:t>
            </w:r>
            <w:r w:rsidR="00651AFF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sistema de Control Interno y su ejercicio, de conformidad con la Ley número 87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de 1993.</w:t>
            </w:r>
            <w:r w:rsidR="00651AFF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DA048F" w14:textId="77777777" w:rsidR="007740FD" w:rsidRPr="002F3889" w:rsidRDefault="007740FD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C8ABDF" w14:textId="77777777" w:rsidR="007740FD" w:rsidRPr="002F3889" w:rsidRDefault="00D742E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Que el Decreto único reglamentario en salud 780 de 2016 en su Capítulo 2 Sistema</w:t>
            </w:r>
            <w:r w:rsidR="00651AFF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Obligatorio de Garantía de Calidad de Atención en Salud del Sistema General de</w:t>
            </w:r>
            <w:r w:rsidR="00651AFF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Seguridad Social en Salud -SOGCS, Artículo 2.5.1.2.1 Características del SOGCS.</w:t>
            </w:r>
            <w:r w:rsidR="00651AFF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9B9D6D" w14:textId="77777777" w:rsidR="007740FD" w:rsidRPr="002F3889" w:rsidRDefault="007740FD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FFF8A9" w14:textId="7F768364" w:rsidR="007970F2" w:rsidRPr="002F3889" w:rsidRDefault="00D742E3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Para efectos de evaluar y mejorar la Calidad de la Atención de Salud, el SOGCS</w:t>
            </w:r>
            <w:r w:rsidR="00651AFF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deberá cumplir con las siguientes características; en donde se resalta la Seguridad</w:t>
            </w:r>
            <w:r w:rsidR="00651AFF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como el conjunto de elementos estructurales, procesos, instrumentos y</w:t>
            </w:r>
            <w:r w:rsidR="007970F2" w:rsidRPr="002F3889">
              <w:rPr>
                <w:rFonts w:ascii="Arial" w:hAnsi="Arial" w:cs="Arial"/>
                <w:sz w:val="24"/>
                <w:szCs w:val="24"/>
              </w:rPr>
              <w:t xml:space="preserve"> metodologías basadas en evidencias científicamente probadas que propenden </w:t>
            </w:r>
            <w:r w:rsidR="007970F2" w:rsidRPr="002F3889">
              <w:rPr>
                <w:rFonts w:ascii="Arial" w:hAnsi="Arial" w:cs="Arial"/>
                <w:sz w:val="24"/>
                <w:szCs w:val="24"/>
              </w:rPr>
              <w:lastRenderedPageBreak/>
              <w:t>por</w:t>
            </w:r>
            <w:r w:rsidR="00651AFF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70F2" w:rsidRPr="002F3889">
              <w:rPr>
                <w:rFonts w:ascii="Arial" w:hAnsi="Arial" w:cs="Arial"/>
                <w:sz w:val="24"/>
                <w:szCs w:val="24"/>
              </w:rPr>
              <w:t>minimizar el riesgo de sufrir un evento adverso en el proceso de atención de salud</w:t>
            </w:r>
            <w:r w:rsidR="00651AFF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70F2" w:rsidRPr="002F3889">
              <w:rPr>
                <w:rFonts w:ascii="Arial" w:hAnsi="Arial" w:cs="Arial"/>
                <w:sz w:val="24"/>
                <w:szCs w:val="24"/>
              </w:rPr>
              <w:t>o de mitigar sus consecuencias.</w:t>
            </w:r>
          </w:p>
          <w:p w14:paraId="42B04418" w14:textId="77777777" w:rsidR="007740FD" w:rsidRPr="002F3889" w:rsidRDefault="007740FD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DBC7A3" w14:textId="3F1FB6C9" w:rsidR="007970F2" w:rsidRPr="002F3889" w:rsidRDefault="007970F2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Que el Decreto único reglamentario en salud 780 de 2016 en su artícul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2F3889">
              <w:rPr>
                <w:rFonts w:ascii="Arial" w:hAnsi="Arial" w:cs="Arial"/>
                <w:sz w:val="24"/>
                <w:szCs w:val="24"/>
              </w:rPr>
              <w:t>2.5.1.3.1.1, define el Sistema Único de Habilitación como el conjunto de normas,</w:t>
            </w:r>
          </w:p>
          <w:p w14:paraId="7413D57D" w14:textId="0583FB46" w:rsidR="007970F2" w:rsidRPr="002F3889" w:rsidRDefault="007970F2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requisitos y procedimientos mediante los cuales establece, registra, verifica y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controla el cumplimiento de las condiciones básicas de capacidad tecnológica y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científica, de suficiencia patrimonial y financiera y de capacidad técnico-administrativa, indispensables para la entrada y permanencia en el Sistema, los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cuales buscan las dar seguridad a sus usuarios frente a los potenciales riesgos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asociados a la prestación de servicios y son de obligatorio cumplimiento por parte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de los Prestadores de Servicios de Salud y las Entidades Administradoras de Planes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de Beneficios.</w:t>
            </w:r>
          </w:p>
          <w:p w14:paraId="0F99D039" w14:textId="77777777" w:rsidR="007740FD" w:rsidRPr="002F3889" w:rsidRDefault="007740FD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CA8BE2" w14:textId="6B4F503E" w:rsidR="007970F2" w:rsidRPr="002F3889" w:rsidRDefault="007970F2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Que el Decreto Único reglamentario 1083 de 2015 en su Artículo 2.2.21.7.1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Establece la Creación de la Red Anticorrupción. Crease la Red Anticorrupció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2F3889">
              <w:rPr>
                <w:rFonts w:ascii="Arial" w:hAnsi="Arial" w:cs="Arial"/>
                <w:sz w:val="24"/>
                <w:szCs w:val="24"/>
              </w:rPr>
              <w:t>integrada por los Jefes de Control Interno o quien haga sus veces para articular</w:t>
            </w:r>
          </w:p>
          <w:p w14:paraId="38A8917B" w14:textId="586E7793" w:rsidR="007970F2" w:rsidRPr="002F3889" w:rsidRDefault="007970F2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 xml:space="preserve">acciones oportunas y eficaces en la identificación de casos o riesgos 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2F3889">
              <w:rPr>
                <w:rFonts w:ascii="Arial" w:hAnsi="Arial" w:cs="Arial"/>
                <w:sz w:val="24"/>
                <w:szCs w:val="24"/>
              </w:rPr>
              <w:t>corrupción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en instituciones públicas, para generar las alertas de carácter preventivo frente a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las decisiones de la administración, promoviendo la transparencia y la rendición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de cuentas en la gestión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9E5609F" w14:textId="77777777" w:rsidR="007740FD" w:rsidRPr="002F3889" w:rsidRDefault="007740FD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E1DBE6" w14:textId="16ADF038" w:rsidR="007970F2" w:rsidRPr="002F3889" w:rsidRDefault="007970F2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Que el Decreto Nacional No. 1499 de 2017, que modifica el Decreto Nacional No.</w:t>
            </w:r>
          </w:p>
          <w:p w14:paraId="716ACA7A" w14:textId="7BB61424" w:rsidR="007970F2" w:rsidRPr="002F3889" w:rsidRDefault="007970F2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1083 de 2015, en relación con el Sistema de Gestión establecido en el Artículo 133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de la Ley No. 1753 de 2015.</w:t>
            </w:r>
          </w:p>
          <w:p w14:paraId="2328473D" w14:textId="77777777" w:rsidR="007740FD" w:rsidRPr="002F3889" w:rsidRDefault="007740FD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E691DF" w14:textId="77777777" w:rsidR="007970F2" w:rsidRPr="002F3889" w:rsidRDefault="007970F2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Que el Decreto Único reglamentario 1083 de 2015 en su Artículo 2.2.22.3.14.</w:t>
            </w:r>
          </w:p>
          <w:p w14:paraId="3076F2E7" w14:textId="77777777" w:rsidR="007970F2" w:rsidRPr="002F3889" w:rsidRDefault="007970F2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Integración de los planes institucionales y estratégicos al Plan de Acción, definió</w:t>
            </w:r>
          </w:p>
          <w:p w14:paraId="5E51480E" w14:textId="77777777" w:rsidR="007970F2" w:rsidRPr="002F3889" w:rsidRDefault="007970F2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directrices para la integración de los Planes Institucionales y Estratégicos al Plan</w:t>
            </w:r>
          </w:p>
          <w:p w14:paraId="6F462D81" w14:textId="77777777" w:rsidR="007970F2" w:rsidRPr="002F3889" w:rsidRDefault="007970F2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de Acción por parte de las entidades de Estado.</w:t>
            </w:r>
          </w:p>
          <w:p w14:paraId="052ABDCA" w14:textId="77777777" w:rsidR="007740FD" w:rsidRPr="002F3889" w:rsidRDefault="007740FD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CA3BBC" w14:textId="4C5A2267" w:rsidR="001B4025" w:rsidRPr="002F3889" w:rsidRDefault="007970F2" w:rsidP="002F3889">
            <w:pPr>
              <w:pStyle w:val="p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9">
              <w:rPr>
                <w:rFonts w:ascii="Arial" w:hAnsi="Arial" w:cs="Arial"/>
                <w:sz w:val="24"/>
                <w:szCs w:val="24"/>
              </w:rPr>
              <w:t>Que el Departamento Administrativo de la Función Pública, expidió la nueva “Guía</w:t>
            </w:r>
            <w:r w:rsidR="007740FD" w:rsidRPr="002F3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9">
              <w:rPr>
                <w:rFonts w:ascii="Arial" w:hAnsi="Arial" w:cs="Arial"/>
                <w:sz w:val="24"/>
                <w:szCs w:val="24"/>
              </w:rPr>
              <w:t>para la Administración del Riesgo y el diseño de controles en entidades públicas –Versión 6”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8"/>
            </w:tblGrid>
            <w:tr w:rsidR="001B4025" w:rsidRPr="002F3889" w14:paraId="0F96FB09" w14:textId="77777777" w:rsidTr="001B4025">
              <w:trPr>
                <w:trHeight w:val="103"/>
              </w:trPr>
              <w:tc>
                <w:tcPr>
                  <w:tcW w:w="1928" w:type="dxa"/>
                </w:tcPr>
                <w:p w14:paraId="23625D03" w14:textId="24E50927" w:rsidR="001B4025" w:rsidRPr="002F3889" w:rsidRDefault="001B4025" w:rsidP="002F3889">
                  <w:pPr>
                    <w:pStyle w:val="Default"/>
                    <w:jc w:val="both"/>
                    <w:rPr>
                      <w:lang w:val="es-CO"/>
                    </w:rPr>
                  </w:pPr>
                </w:p>
              </w:tc>
            </w:tr>
          </w:tbl>
          <w:p w14:paraId="549BBE99" w14:textId="412FBD66" w:rsidR="003335E1" w:rsidRPr="002F3889" w:rsidRDefault="003335E1" w:rsidP="002F388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4F7E6A" w:rsidRPr="002F3889" w14:paraId="52291024" w14:textId="77777777" w:rsidTr="001B4025">
        <w:tc>
          <w:tcPr>
            <w:tcW w:w="8828" w:type="dxa"/>
          </w:tcPr>
          <w:p w14:paraId="3E58079E" w14:textId="2060A125" w:rsidR="004F7E6A" w:rsidRPr="002F3889" w:rsidRDefault="007B2CCD" w:rsidP="002F3889">
            <w:pPr>
              <w:pStyle w:val="Default"/>
              <w:jc w:val="both"/>
              <w:rPr>
                <w:b/>
                <w:bCs/>
              </w:rPr>
            </w:pPr>
            <w:r w:rsidRPr="002F3889">
              <w:rPr>
                <w:b/>
                <w:bCs/>
              </w:rPr>
              <w:lastRenderedPageBreak/>
              <w:t>I</w:t>
            </w:r>
            <w:r w:rsidR="004F7E6A" w:rsidRPr="002F3889">
              <w:rPr>
                <w:b/>
                <w:bCs/>
              </w:rPr>
              <w:t xml:space="preserve">NFORME </w:t>
            </w:r>
          </w:p>
        </w:tc>
      </w:tr>
      <w:tr w:rsidR="0080407A" w:rsidRPr="002F3889" w14:paraId="5754F07F" w14:textId="77777777" w:rsidTr="001B4025">
        <w:trPr>
          <w:trHeight w:val="232"/>
        </w:trPr>
        <w:tc>
          <w:tcPr>
            <w:tcW w:w="8828" w:type="dxa"/>
          </w:tcPr>
          <w:p w14:paraId="1F754C63" w14:textId="5348393C" w:rsidR="004F7E6A" w:rsidRPr="002F3889" w:rsidRDefault="004F7E6A" w:rsidP="002F3889">
            <w:pPr>
              <w:pStyle w:val="Default"/>
              <w:jc w:val="both"/>
              <w:rPr>
                <w:lang w:val="es-CO"/>
              </w:rPr>
            </w:pPr>
            <w:r w:rsidRPr="002F3889">
              <w:rPr>
                <w:lang w:val="es-CO"/>
              </w:rPr>
              <w:t xml:space="preserve">La Oficina de Control Interno procedió a verificar los soportes a respuestas emitidas por parte del área de sistemas de la Ese Santiago de Tunja, con el fin de dar cumplimiento a lo establecido en el marco legal relacionado con los Derechos de autor y el uso del software. </w:t>
            </w:r>
          </w:p>
          <w:p w14:paraId="14C8940F" w14:textId="77777777" w:rsidR="00E524E5" w:rsidRPr="002F3889" w:rsidRDefault="00E524E5" w:rsidP="002F3889">
            <w:pPr>
              <w:pStyle w:val="Default"/>
              <w:jc w:val="both"/>
              <w:rPr>
                <w:lang w:val="es-CO"/>
              </w:rPr>
            </w:pPr>
          </w:p>
          <w:p w14:paraId="720043EF" w14:textId="567CE440" w:rsidR="004F7E6A" w:rsidRPr="002F3889" w:rsidRDefault="004F7E6A" w:rsidP="002F3889">
            <w:pPr>
              <w:pStyle w:val="Default"/>
              <w:jc w:val="both"/>
              <w:rPr>
                <w:lang w:val="es-CO"/>
              </w:rPr>
            </w:pPr>
            <w:r w:rsidRPr="002F3889">
              <w:rPr>
                <w:lang w:val="es-CO"/>
              </w:rPr>
              <w:t>Información solicitada por la Dirección Nacional de Derechos de Autor (DNDA) con</w:t>
            </w:r>
            <w:r w:rsidR="00C241EB" w:rsidRPr="002F3889">
              <w:rPr>
                <w:lang w:val="es-CO"/>
              </w:rPr>
              <w:t xml:space="preserve"> corte a 31 de diciembre de 2024</w:t>
            </w:r>
            <w:r w:rsidRPr="002F3889">
              <w:rPr>
                <w:lang w:val="es-CO"/>
              </w:rPr>
              <w:t xml:space="preserve">, relacionada con: </w:t>
            </w:r>
          </w:p>
          <w:p w14:paraId="0F3B2898" w14:textId="77777777" w:rsidR="004F7E6A" w:rsidRPr="002F3889" w:rsidRDefault="004F7E6A" w:rsidP="002F3889">
            <w:pPr>
              <w:pStyle w:val="Default"/>
              <w:jc w:val="both"/>
              <w:rPr>
                <w:lang w:val="es-CO"/>
              </w:rPr>
            </w:pPr>
          </w:p>
          <w:p w14:paraId="6B90F55B" w14:textId="77777777" w:rsidR="004F7E6A" w:rsidRPr="002F3889" w:rsidRDefault="004F7E6A" w:rsidP="002F3889">
            <w:pPr>
              <w:pStyle w:val="Default"/>
              <w:jc w:val="both"/>
              <w:rPr>
                <w:lang w:val="es-CO"/>
              </w:rPr>
            </w:pPr>
            <w:r w:rsidRPr="002F3889">
              <w:rPr>
                <w:lang w:val="es-CO"/>
              </w:rPr>
              <w:t xml:space="preserve">1. ¿Con cuántos equipos cuenta la entidad? </w:t>
            </w:r>
          </w:p>
          <w:p w14:paraId="29857418" w14:textId="56D6733E" w:rsidR="004F7E6A" w:rsidRPr="002F3889" w:rsidRDefault="00D35D8A" w:rsidP="002F3889">
            <w:pPr>
              <w:pStyle w:val="Default"/>
              <w:jc w:val="both"/>
              <w:rPr>
                <w:lang w:val="es-CO"/>
              </w:rPr>
            </w:pPr>
            <w:r w:rsidRPr="002F3889">
              <w:rPr>
                <w:lang w:val="es-CO"/>
              </w:rPr>
              <w:t xml:space="preserve">La Empresa Social del Estado Santiago de Tunja cuenta con un total de </w:t>
            </w:r>
            <w:r w:rsidR="006A2AA1" w:rsidRPr="002F3889">
              <w:rPr>
                <w:lang w:val="es-CO"/>
              </w:rPr>
              <w:t>346</w:t>
            </w:r>
            <w:r w:rsidR="00E877CF" w:rsidRPr="002F3889">
              <w:rPr>
                <w:lang w:val="es-CO"/>
              </w:rPr>
              <w:t xml:space="preserve"> </w:t>
            </w:r>
            <w:r w:rsidRPr="002F3889">
              <w:rPr>
                <w:lang w:val="es-CO"/>
              </w:rPr>
              <w:t xml:space="preserve">equipos de </w:t>
            </w:r>
            <w:r w:rsidR="007B26DD" w:rsidRPr="002F3889">
              <w:rPr>
                <w:lang w:val="es-CO"/>
              </w:rPr>
              <w:t>cómputo</w:t>
            </w:r>
            <w:r w:rsidR="00564CFF" w:rsidRPr="002F3889">
              <w:rPr>
                <w:lang w:val="es-CO"/>
              </w:rPr>
              <w:t>.</w:t>
            </w:r>
          </w:p>
          <w:p w14:paraId="581BCAFC" w14:textId="77777777" w:rsidR="00564CFF" w:rsidRPr="002F3889" w:rsidRDefault="00564CFF" w:rsidP="002F3889">
            <w:pPr>
              <w:pStyle w:val="Default"/>
              <w:jc w:val="both"/>
              <w:rPr>
                <w:lang w:val="es-CO"/>
              </w:rPr>
            </w:pPr>
          </w:p>
          <w:p w14:paraId="7FC394FB" w14:textId="77777777" w:rsidR="004F7E6A" w:rsidRPr="002F3889" w:rsidRDefault="004F7E6A" w:rsidP="002F3889">
            <w:pPr>
              <w:pStyle w:val="Default"/>
              <w:jc w:val="both"/>
              <w:rPr>
                <w:lang w:val="es-CO"/>
              </w:rPr>
            </w:pPr>
            <w:r w:rsidRPr="002F3889">
              <w:rPr>
                <w:lang w:val="es-CO"/>
              </w:rPr>
              <w:t xml:space="preserve">2. ¿Qué mecanismos de control se han implementado para evitar que los usuarios instalen programas o aplicativos que no cuenten con la licencia respectiva? </w:t>
            </w:r>
          </w:p>
          <w:p w14:paraId="0D376057" w14:textId="77777777" w:rsidR="004F7E6A" w:rsidRPr="002F3889" w:rsidRDefault="004F7E6A" w:rsidP="002F3889">
            <w:pPr>
              <w:pStyle w:val="Default"/>
              <w:jc w:val="both"/>
              <w:rPr>
                <w:lang w:val="es-CO"/>
              </w:rPr>
            </w:pPr>
          </w:p>
          <w:p w14:paraId="66952586" w14:textId="71D9EF45" w:rsidR="00564CFF" w:rsidRPr="002F3889" w:rsidRDefault="00564CFF" w:rsidP="002F3889">
            <w:pPr>
              <w:pStyle w:val="Default"/>
              <w:jc w:val="both"/>
              <w:rPr>
                <w:lang w:val="es-CO"/>
              </w:rPr>
            </w:pPr>
            <w:r w:rsidRPr="002F3889">
              <w:rPr>
                <w:lang w:val="es-CO"/>
              </w:rPr>
              <w:t>La E.S.E. Santiago de Tunja cuenta con el Manual</w:t>
            </w:r>
            <w:r w:rsidR="004F7E6A" w:rsidRPr="002F3889">
              <w:rPr>
                <w:lang w:val="es-CO"/>
              </w:rPr>
              <w:t xml:space="preserve"> de políticas de seguridad y privacidad de la información. </w:t>
            </w:r>
            <w:r w:rsidR="003A4677" w:rsidRPr="002F3889">
              <w:rPr>
                <w:lang w:val="es-CO"/>
              </w:rPr>
              <w:t>Se da aplicación de la política de seguridad por medio del servidor de dominio, incluyendo restricciones, control de plataforma de antivirus, instalación solo por el administrador autorizado y la creación de cuentas de usuario con restricciones.</w:t>
            </w:r>
          </w:p>
          <w:p w14:paraId="50BD1E6E" w14:textId="02453F40" w:rsidR="0072364D" w:rsidRPr="002F3889" w:rsidRDefault="0072364D" w:rsidP="002F3889">
            <w:pPr>
              <w:pStyle w:val="Default"/>
              <w:jc w:val="both"/>
              <w:rPr>
                <w:lang w:val="es-CO"/>
              </w:rPr>
            </w:pPr>
          </w:p>
          <w:p w14:paraId="35983332" w14:textId="64FD837C" w:rsidR="0072364D" w:rsidRPr="002F3889" w:rsidRDefault="0072364D" w:rsidP="002F3889">
            <w:pPr>
              <w:pStyle w:val="Default"/>
              <w:jc w:val="both"/>
              <w:rPr>
                <w:lang w:val="es-CO"/>
              </w:rPr>
            </w:pPr>
            <w:r w:rsidRPr="002F3889">
              <w:rPr>
                <w:lang w:val="es-CO"/>
              </w:rPr>
              <w:t>El permiso de administrador se otorga por medio de contraseñas, las cuales exclusivamente son de manejo del Ingeniero de Sistemas de la E.S.E. Santiago de Tunja.</w:t>
            </w:r>
          </w:p>
          <w:p w14:paraId="1EF27F2B" w14:textId="77777777" w:rsidR="00564CFF" w:rsidRPr="002F3889" w:rsidRDefault="00564CFF" w:rsidP="002F3889">
            <w:pPr>
              <w:pStyle w:val="Default"/>
              <w:jc w:val="both"/>
              <w:rPr>
                <w:lang w:val="es-CO"/>
              </w:rPr>
            </w:pPr>
          </w:p>
          <w:p w14:paraId="293C3002" w14:textId="02CD7447" w:rsidR="004F7E6A" w:rsidRPr="002F3889" w:rsidRDefault="004F7E6A" w:rsidP="002F3889">
            <w:pPr>
              <w:pStyle w:val="Default"/>
              <w:jc w:val="both"/>
              <w:rPr>
                <w:lang w:val="es-CO"/>
              </w:rPr>
            </w:pPr>
            <w:r w:rsidRPr="002F3889">
              <w:rPr>
                <w:lang w:val="es-CO"/>
              </w:rPr>
              <w:t xml:space="preserve">3. ¿Cuál es el destino final que se le da al software dado de baja en su entidad? </w:t>
            </w:r>
          </w:p>
          <w:p w14:paraId="36E5E648" w14:textId="77777777" w:rsidR="00564CFF" w:rsidRPr="002F3889" w:rsidRDefault="00564CFF" w:rsidP="002F3889">
            <w:pPr>
              <w:pStyle w:val="Default"/>
              <w:jc w:val="both"/>
              <w:rPr>
                <w:lang w:val="es-CO"/>
              </w:rPr>
            </w:pPr>
            <w:r w:rsidRPr="002F3889">
              <w:rPr>
                <w:lang w:val="es-CO"/>
              </w:rPr>
              <w:t xml:space="preserve"> </w:t>
            </w:r>
          </w:p>
          <w:p w14:paraId="7F1A2E8E" w14:textId="16E7510C" w:rsidR="004F7E6A" w:rsidRPr="002F3889" w:rsidRDefault="0072364D" w:rsidP="002F3889">
            <w:pPr>
              <w:pStyle w:val="Default"/>
              <w:jc w:val="both"/>
              <w:rPr>
                <w:lang w:val="es-CO"/>
              </w:rPr>
            </w:pPr>
            <w:r w:rsidRPr="002F3889">
              <w:rPr>
                <w:lang w:val="es-CO"/>
              </w:rPr>
              <w:t xml:space="preserve">Los funcionarios hacen llegar los equipos a la oficina de Sistemas de soporte técnico </w:t>
            </w:r>
            <w:r w:rsidR="00AB27EC" w:rsidRPr="002F3889">
              <w:rPr>
                <w:lang w:val="es-CO"/>
              </w:rPr>
              <w:t xml:space="preserve">de </w:t>
            </w:r>
            <w:r w:rsidR="00371B84" w:rsidRPr="002F3889">
              <w:rPr>
                <w:lang w:val="es-CO"/>
              </w:rPr>
              <w:t>apoyo,</w:t>
            </w:r>
            <w:r w:rsidR="00AB27EC" w:rsidRPr="002F3889">
              <w:rPr>
                <w:lang w:val="es-CO"/>
              </w:rPr>
              <w:t xml:space="preserve"> los cuales son revisados a allí se encargan de dar un concepto técnico y se envía a   </w:t>
            </w:r>
            <w:r w:rsidR="004F7E6A" w:rsidRPr="002F3889">
              <w:rPr>
                <w:lang w:val="es-CO"/>
              </w:rPr>
              <w:t>Almacenamiento y custodi</w:t>
            </w:r>
            <w:r w:rsidR="00AB27EC" w:rsidRPr="002F3889">
              <w:rPr>
                <w:lang w:val="es-CO"/>
              </w:rPr>
              <w:t>a quienes se encargan de dar de baja a través del comité respectivo</w:t>
            </w:r>
            <w:r w:rsidR="004F7E6A" w:rsidRPr="002F3889">
              <w:rPr>
                <w:lang w:val="es-CO"/>
              </w:rPr>
              <w:t xml:space="preserve">. </w:t>
            </w:r>
          </w:p>
          <w:p w14:paraId="61B892EC" w14:textId="77777777" w:rsidR="00564CFF" w:rsidRPr="002F3889" w:rsidRDefault="00564CFF" w:rsidP="002F3889">
            <w:pPr>
              <w:pStyle w:val="Default"/>
              <w:jc w:val="both"/>
              <w:rPr>
                <w:lang w:val="es-CO"/>
              </w:rPr>
            </w:pPr>
          </w:p>
          <w:p w14:paraId="2A790056" w14:textId="77777777" w:rsidR="004F7E6A" w:rsidRPr="002F3889" w:rsidRDefault="004F7E6A" w:rsidP="002F3889">
            <w:pPr>
              <w:pStyle w:val="Default"/>
              <w:jc w:val="both"/>
              <w:rPr>
                <w:lang w:val="es-CO"/>
              </w:rPr>
            </w:pPr>
            <w:r w:rsidRPr="002F3889">
              <w:rPr>
                <w:lang w:val="es-CO"/>
              </w:rPr>
              <w:t xml:space="preserve">4. ¿El software instalado en estos equipos se encuentra debidamente licenciado? </w:t>
            </w:r>
          </w:p>
          <w:p w14:paraId="27111372" w14:textId="77777777" w:rsidR="00564CFF" w:rsidRPr="002F3889" w:rsidRDefault="00564CFF" w:rsidP="002F3889">
            <w:pPr>
              <w:pStyle w:val="Default"/>
              <w:jc w:val="both"/>
              <w:rPr>
                <w:lang w:val="es-CO"/>
              </w:rPr>
            </w:pPr>
          </w:p>
          <w:p w14:paraId="6D2B666D" w14:textId="0C0B7CB0" w:rsidR="00564CFF" w:rsidRPr="002F3889" w:rsidRDefault="00564CFF" w:rsidP="002F3889">
            <w:pPr>
              <w:pStyle w:val="Default"/>
              <w:jc w:val="both"/>
              <w:rPr>
                <w:lang w:val="es-CO"/>
              </w:rPr>
            </w:pPr>
            <w:r w:rsidRPr="002F3889">
              <w:rPr>
                <w:lang w:val="es-CO"/>
              </w:rPr>
              <w:t xml:space="preserve">El software instalado en estos equipos se encuentra debidamente licenciado como lo establece la ley y de acuerdo al informe dado por </w:t>
            </w:r>
            <w:r w:rsidR="0072364D" w:rsidRPr="002F3889">
              <w:rPr>
                <w:lang w:val="es-CO"/>
              </w:rPr>
              <w:t>el encargado</w:t>
            </w:r>
            <w:r w:rsidRPr="002F3889">
              <w:rPr>
                <w:lang w:val="es-CO"/>
              </w:rPr>
              <w:t xml:space="preserve"> del área de Sistemas.</w:t>
            </w:r>
          </w:p>
          <w:p w14:paraId="42A1E181" w14:textId="78314EDB" w:rsidR="00564CFF" w:rsidRPr="002F3889" w:rsidRDefault="00564CFF" w:rsidP="002F3889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F7E6A" w:rsidRPr="002F3889" w14:paraId="075D7350" w14:textId="77777777" w:rsidTr="001B4025">
        <w:trPr>
          <w:trHeight w:val="232"/>
        </w:trPr>
        <w:tc>
          <w:tcPr>
            <w:tcW w:w="8828" w:type="dxa"/>
          </w:tcPr>
          <w:p w14:paraId="282DFD5C" w14:textId="056C5873" w:rsidR="004F7E6A" w:rsidRPr="002F3889" w:rsidRDefault="004F7E6A" w:rsidP="002F3889">
            <w:pPr>
              <w:pStyle w:val="Default"/>
              <w:jc w:val="both"/>
            </w:pPr>
            <w:r w:rsidRPr="002F3889">
              <w:rPr>
                <w:b/>
                <w:bCs/>
              </w:rPr>
              <w:lastRenderedPageBreak/>
              <w:t xml:space="preserve">CONCLUSIONES </w:t>
            </w:r>
          </w:p>
        </w:tc>
      </w:tr>
      <w:tr w:rsidR="004F7E6A" w:rsidRPr="002F3889" w14:paraId="75043C87" w14:textId="77777777" w:rsidTr="001B4025">
        <w:trPr>
          <w:trHeight w:val="232"/>
        </w:trPr>
        <w:tc>
          <w:tcPr>
            <w:tcW w:w="8828" w:type="dxa"/>
          </w:tcPr>
          <w:p w14:paraId="58081A29" w14:textId="0527143F" w:rsidR="002F3889" w:rsidRPr="002F3889" w:rsidRDefault="002F3889" w:rsidP="002F3889">
            <w:pPr>
              <w:pStyle w:val="Prrafodelista"/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cs="Arial"/>
                <w:szCs w:val="24"/>
                <w:lang w:eastAsia="es-MX"/>
              </w:rPr>
            </w:pPr>
            <w:r w:rsidRPr="002F3889">
              <w:rPr>
                <w:rStyle w:val="Textoennegrita"/>
                <w:rFonts w:cs="Arial"/>
                <w:szCs w:val="24"/>
              </w:rPr>
              <w:t>Cumplimiento</w:t>
            </w:r>
            <w:r>
              <w:rPr>
                <w:rStyle w:val="Textoennegrita"/>
                <w:rFonts w:cs="Arial"/>
                <w:szCs w:val="24"/>
              </w:rPr>
              <w:t xml:space="preserve"> </w:t>
            </w:r>
            <w:r w:rsidRPr="002F3889">
              <w:rPr>
                <w:rStyle w:val="Textoennegrita"/>
                <w:rFonts w:cs="Arial"/>
                <w:szCs w:val="24"/>
              </w:rPr>
              <w:t>Normativo:</w:t>
            </w:r>
            <w:r>
              <w:t xml:space="preserve"> </w:t>
            </w:r>
            <w:r w:rsidRPr="002F3889">
              <w:rPr>
                <w:rFonts w:cs="Arial"/>
                <w:szCs w:val="24"/>
              </w:rPr>
              <w:t xml:space="preserve">La E.S.E. Santiago de Tunja demuestra un adecuado cumplimiento del marco legal vigente en materia de control interno, administración del riesgo y propiedad intelectual del software, de </w:t>
            </w:r>
            <w:r w:rsidRPr="002F3889">
              <w:rPr>
                <w:rFonts w:cs="Arial"/>
                <w:szCs w:val="24"/>
              </w:rPr>
              <w:lastRenderedPageBreak/>
              <w:t>acuerdo con los lineamientos establecidos por la Dirección Nacional de Derechos de Autor y demás normativas aplicables.</w:t>
            </w:r>
          </w:p>
          <w:p w14:paraId="49E076BA" w14:textId="67EA6927" w:rsidR="002F3889" w:rsidRPr="002F3889" w:rsidRDefault="002F3889" w:rsidP="002F3889">
            <w:pPr>
              <w:pStyle w:val="Prrafodelista"/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cs="Arial"/>
                <w:szCs w:val="24"/>
              </w:rPr>
            </w:pPr>
            <w:r w:rsidRPr="002F3889">
              <w:rPr>
                <w:rStyle w:val="Textoennegrita"/>
                <w:rFonts w:cs="Arial"/>
                <w:szCs w:val="24"/>
              </w:rPr>
              <w:t>Gestión</w:t>
            </w:r>
            <w:r>
              <w:rPr>
                <w:rStyle w:val="Textoennegrita"/>
                <w:rFonts w:cs="Arial"/>
                <w:szCs w:val="24"/>
              </w:rPr>
              <w:t xml:space="preserve"> </w:t>
            </w:r>
            <w:r w:rsidRPr="002F3889">
              <w:rPr>
                <w:rStyle w:val="Textoennegrita"/>
                <w:rFonts w:cs="Arial"/>
                <w:szCs w:val="24"/>
              </w:rPr>
              <w:t>de</w:t>
            </w:r>
            <w:r>
              <w:rPr>
                <w:rStyle w:val="Textoennegrita"/>
                <w:rFonts w:cs="Arial"/>
                <w:szCs w:val="24"/>
              </w:rPr>
              <w:t xml:space="preserve"> </w:t>
            </w:r>
            <w:r w:rsidRPr="002F3889">
              <w:rPr>
                <w:rStyle w:val="Textoennegrita"/>
                <w:rFonts w:cs="Arial"/>
                <w:szCs w:val="24"/>
              </w:rPr>
              <w:t>Riesgos Efectiva:</w:t>
            </w:r>
            <w:r>
              <w:t xml:space="preserve"> </w:t>
            </w:r>
            <w:r w:rsidRPr="002F3889">
              <w:rPr>
                <w:rFonts w:cs="Arial"/>
                <w:szCs w:val="24"/>
              </w:rPr>
              <w:t>Se evidencia que la entidad ha implementado políticas claras y mecanismos de control efectivos para la prevención de riesgos, especialmente los asociados a corrupción, gestión institucional y uso indebido de software, contribuyendo al fortalecimiento del sistema de control interno.</w:t>
            </w:r>
          </w:p>
          <w:p w14:paraId="4337A39F" w14:textId="3A7B1859" w:rsidR="002F3889" w:rsidRPr="002F3889" w:rsidRDefault="002F3889" w:rsidP="002F3889">
            <w:pPr>
              <w:pStyle w:val="Prrafodelista"/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cs="Arial"/>
                <w:szCs w:val="24"/>
              </w:rPr>
            </w:pPr>
            <w:r w:rsidRPr="002F3889">
              <w:rPr>
                <w:rStyle w:val="Textoennegrita"/>
                <w:rFonts w:cs="Arial"/>
                <w:szCs w:val="24"/>
              </w:rPr>
              <w:t>Control de Software y Seguridad Informática:</w:t>
            </w:r>
            <w:r>
              <w:t xml:space="preserve"> </w:t>
            </w:r>
            <w:r w:rsidRPr="002F3889">
              <w:rPr>
                <w:rFonts w:cs="Arial"/>
                <w:szCs w:val="24"/>
              </w:rPr>
              <w:t>La administración de los equipos y del software instalado es realizada con criterios técnicos adecuados, asegurando que las licencias estén en regla y que existan controles para evitar la instalación de software no autorizado, lo cual mitiga riesgos legales y operativos.</w:t>
            </w:r>
          </w:p>
          <w:p w14:paraId="248DF532" w14:textId="09D294A2" w:rsidR="004F7E6A" w:rsidRPr="002F3889" w:rsidRDefault="002F3889" w:rsidP="002F3889">
            <w:pPr>
              <w:pStyle w:val="Prrafodelista"/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cs="Arial"/>
                <w:szCs w:val="24"/>
              </w:rPr>
            </w:pPr>
            <w:r w:rsidRPr="002F3889">
              <w:rPr>
                <w:rStyle w:val="Textoennegrita"/>
                <w:rFonts w:cs="Arial"/>
                <w:szCs w:val="24"/>
              </w:rPr>
              <w:t>Proceso de Baja de Equipos:</w:t>
            </w:r>
            <w:r>
              <w:rPr>
                <w:rFonts w:cs="Arial"/>
                <w:szCs w:val="24"/>
              </w:rPr>
              <w:t xml:space="preserve"> </w:t>
            </w:r>
            <w:r w:rsidRPr="002F3889">
              <w:rPr>
                <w:rFonts w:cs="Arial"/>
                <w:szCs w:val="24"/>
              </w:rPr>
              <w:t>El procedimiento de baja de equipos y software se encuentra debidamente establecido, con la participación de las áreas responsables y el soporte de un comité, lo que garantiza la transparencia en la gestión de activos tecnológicos.</w:t>
            </w:r>
          </w:p>
        </w:tc>
      </w:tr>
      <w:tr w:rsidR="004F7E6A" w:rsidRPr="002F3889" w14:paraId="08A291D8" w14:textId="77777777" w:rsidTr="001B4025">
        <w:trPr>
          <w:trHeight w:val="232"/>
        </w:trPr>
        <w:tc>
          <w:tcPr>
            <w:tcW w:w="8828" w:type="dxa"/>
          </w:tcPr>
          <w:p w14:paraId="59BD16ED" w14:textId="77777777" w:rsidR="006B1E12" w:rsidRPr="002F3889" w:rsidRDefault="006B1E12" w:rsidP="002F3889">
            <w:pPr>
              <w:pStyle w:val="Default"/>
              <w:jc w:val="both"/>
            </w:pPr>
            <w:r w:rsidRPr="002F3889">
              <w:rPr>
                <w:b/>
                <w:bCs/>
              </w:rPr>
              <w:lastRenderedPageBreak/>
              <w:t xml:space="preserve">RECOMENDACIONES </w:t>
            </w:r>
          </w:p>
          <w:p w14:paraId="7B6263FB" w14:textId="77777777" w:rsidR="004F7E6A" w:rsidRPr="002F3889" w:rsidRDefault="004F7E6A" w:rsidP="002F3889">
            <w:pPr>
              <w:pStyle w:val="Default"/>
              <w:jc w:val="both"/>
              <w:rPr>
                <w:lang w:val="es-CO"/>
              </w:rPr>
            </w:pPr>
          </w:p>
        </w:tc>
      </w:tr>
      <w:tr w:rsidR="003335E1" w:rsidRPr="002F3889" w14:paraId="5225E944" w14:textId="77777777" w:rsidTr="001B4025">
        <w:trPr>
          <w:trHeight w:val="232"/>
        </w:trPr>
        <w:tc>
          <w:tcPr>
            <w:tcW w:w="8828" w:type="dxa"/>
          </w:tcPr>
          <w:p w14:paraId="319B9F4D" w14:textId="10E1EFCD" w:rsidR="002F3889" w:rsidRPr="002F3889" w:rsidRDefault="002F3889" w:rsidP="002F3889">
            <w:pPr>
              <w:pStyle w:val="Prrafodelista"/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rPr>
                <w:rFonts w:cs="Arial"/>
                <w:szCs w:val="24"/>
              </w:rPr>
            </w:pPr>
            <w:r w:rsidRPr="002F3889">
              <w:rPr>
                <w:rStyle w:val="Textoennegrita"/>
                <w:rFonts w:cs="Arial"/>
                <w:szCs w:val="24"/>
              </w:rPr>
              <w:t>Actualización y Divulgación de Políticas:</w:t>
            </w:r>
            <w:r>
              <w:rPr>
                <w:rFonts w:cs="Arial"/>
                <w:szCs w:val="24"/>
              </w:rPr>
              <w:t xml:space="preserve"> </w:t>
            </w:r>
            <w:r w:rsidRPr="002F3889">
              <w:rPr>
                <w:rFonts w:cs="Arial"/>
                <w:szCs w:val="24"/>
              </w:rPr>
              <w:t>Se recomienda actualizar periódicamente el Manual de Políticas de Seguridad y Privacidad de la Información, así como socializar su contenido entre todos los funcionarios para garantizar su conocimiento y correcta aplicación.</w:t>
            </w:r>
          </w:p>
          <w:p w14:paraId="3A3B0BB0" w14:textId="4A3B12C3" w:rsidR="002F3889" w:rsidRPr="002F3889" w:rsidRDefault="002F3889" w:rsidP="002F3889">
            <w:pPr>
              <w:pStyle w:val="Prrafodelista"/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rPr>
                <w:rFonts w:cs="Arial"/>
                <w:szCs w:val="24"/>
              </w:rPr>
            </w:pPr>
            <w:r w:rsidRPr="002F3889">
              <w:rPr>
                <w:rStyle w:val="Textoennegrita"/>
                <w:rFonts w:cs="Arial"/>
                <w:szCs w:val="24"/>
              </w:rPr>
              <w:t>Capacitación Continua:</w:t>
            </w:r>
            <w:r>
              <w:t xml:space="preserve"> </w:t>
            </w:r>
            <w:r w:rsidRPr="002F3889">
              <w:rPr>
                <w:rFonts w:cs="Arial"/>
                <w:szCs w:val="24"/>
              </w:rPr>
              <w:t>Fortalecer los programas de capacitación en administración del riesgo, control interno y uso responsable de tecnologías, dirigidos al personal de todos los niveles, especialmente en temas relacionados con la protección de datos, licenciamiento de software y prevención de riesgos de corrupción.</w:t>
            </w:r>
          </w:p>
          <w:p w14:paraId="063C3A0E" w14:textId="0A8193FD" w:rsidR="002F3889" w:rsidRPr="002F3889" w:rsidRDefault="002F3889" w:rsidP="002F3889">
            <w:pPr>
              <w:pStyle w:val="Prrafodelista"/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rPr>
                <w:rFonts w:cs="Arial"/>
                <w:szCs w:val="24"/>
              </w:rPr>
            </w:pPr>
            <w:r w:rsidRPr="002F3889">
              <w:rPr>
                <w:rStyle w:val="Textoennegrita"/>
                <w:rFonts w:cs="Arial"/>
                <w:szCs w:val="24"/>
              </w:rPr>
              <w:t>Seguimiento y Auditorías Periódicas:</w:t>
            </w:r>
            <w:r>
              <w:rPr>
                <w:rFonts w:cs="Arial"/>
                <w:szCs w:val="24"/>
              </w:rPr>
              <w:t xml:space="preserve"> </w:t>
            </w:r>
            <w:r w:rsidRPr="002F3889">
              <w:rPr>
                <w:rFonts w:cs="Arial"/>
                <w:szCs w:val="24"/>
              </w:rPr>
              <w:t>Realizar seguimientos y auditorías internas periódicas que permitan verificar la eficacia de los controles implementados, así como detectar posibles desviaciones o mejoras en los procesos.</w:t>
            </w:r>
          </w:p>
          <w:p w14:paraId="4F8BD9C4" w14:textId="1951B623" w:rsidR="002F3889" w:rsidRPr="002F3889" w:rsidRDefault="002F3889" w:rsidP="002F3889">
            <w:pPr>
              <w:pStyle w:val="Prrafodelista"/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rPr>
                <w:rFonts w:cs="Arial"/>
                <w:szCs w:val="24"/>
              </w:rPr>
            </w:pPr>
            <w:r w:rsidRPr="002F3889">
              <w:rPr>
                <w:rStyle w:val="Textoennegrita"/>
                <w:rFonts w:cs="Arial"/>
                <w:szCs w:val="24"/>
              </w:rPr>
              <w:t>Documentación</w:t>
            </w:r>
            <w:r>
              <w:rPr>
                <w:rStyle w:val="Textoennegrita"/>
                <w:rFonts w:cs="Arial"/>
                <w:szCs w:val="24"/>
              </w:rPr>
              <w:t xml:space="preserve"> </w:t>
            </w:r>
            <w:r w:rsidRPr="002F3889">
              <w:rPr>
                <w:rStyle w:val="Textoennegrita"/>
                <w:rFonts w:cs="Arial"/>
                <w:szCs w:val="24"/>
              </w:rPr>
              <w:t>de Procesos Técnicos:</w:t>
            </w:r>
            <w:r>
              <w:t xml:space="preserve"> </w:t>
            </w:r>
            <w:r w:rsidRPr="002F3889">
              <w:rPr>
                <w:rFonts w:cs="Arial"/>
                <w:szCs w:val="24"/>
              </w:rPr>
              <w:t xml:space="preserve">Formalizar y documentar los procedimientos técnicos llevados a cabo por el área de sistemas, incluyendo el control de licencias, el proceso de instalación de software y </w:t>
            </w:r>
            <w:r w:rsidRPr="002F3889">
              <w:rPr>
                <w:rFonts w:cs="Arial"/>
                <w:szCs w:val="24"/>
              </w:rPr>
              <w:lastRenderedPageBreak/>
              <w:t>el procedimiento de baja, para asegurar trazabilidad, estandarización y continuidad operativa.</w:t>
            </w:r>
          </w:p>
          <w:p w14:paraId="23BAD90F" w14:textId="18198457" w:rsidR="003335E1" w:rsidRPr="002F3889" w:rsidRDefault="002F3889" w:rsidP="002F3889">
            <w:pPr>
              <w:pStyle w:val="Prrafodelista"/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rPr>
                <w:rFonts w:cs="Arial"/>
                <w:szCs w:val="24"/>
              </w:rPr>
            </w:pPr>
            <w:r w:rsidRPr="002F3889">
              <w:rPr>
                <w:rStyle w:val="Textoennegrita"/>
                <w:rFonts w:cs="Arial"/>
                <w:szCs w:val="24"/>
              </w:rPr>
              <w:t>Fortalecer el Comité de Control de Activos:</w:t>
            </w:r>
            <w:r>
              <w:rPr>
                <w:rFonts w:cs="Arial"/>
                <w:szCs w:val="24"/>
              </w:rPr>
              <w:t xml:space="preserve"> </w:t>
            </w:r>
            <w:r w:rsidRPr="002F3889">
              <w:rPr>
                <w:rFonts w:cs="Arial"/>
                <w:szCs w:val="24"/>
              </w:rPr>
              <w:t>Reforzar el rol del comité encargado de la baja de equipos y software, asegurando su participación activa y el registro detallado de todas las decisiones tomadas.</w:t>
            </w:r>
          </w:p>
        </w:tc>
      </w:tr>
    </w:tbl>
    <w:p w14:paraId="6F389BD4" w14:textId="6191846F" w:rsidR="00666548" w:rsidRPr="00B91B3F" w:rsidRDefault="00666548" w:rsidP="00016BA6">
      <w:pPr>
        <w:rPr>
          <w:rFonts w:cs="Arial"/>
        </w:rPr>
      </w:pPr>
    </w:p>
    <w:p w14:paraId="4A2B9185" w14:textId="1C64E9CB" w:rsidR="00666548" w:rsidRDefault="00666548" w:rsidP="00666548">
      <w:pPr>
        <w:pStyle w:val="Ttulo"/>
        <w:rPr>
          <w:rFonts w:ascii="Arial" w:hAnsi="Arial" w:cs="Arial"/>
          <w:b/>
          <w:sz w:val="24"/>
          <w:szCs w:val="24"/>
        </w:rPr>
      </w:pPr>
    </w:p>
    <w:p w14:paraId="7A3A14FB" w14:textId="77777777" w:rsidR="00D742E3" w:rsidRDefault="00A51C8A" w:rsidP="00D742E3">
      <w:pPr>
        <w:rPr>
          <w:rFonts w:cs="Arial"/>
        </w:rPr>
      </w:pPr>
      <w:r w:rsidRPr="00A51C8A">
        <w:rPr>
          <w:noProof/>
          <w:lang w:val="en-US" w:eastAsia="en-US"/>
        </w:rPr>
        <w:drawing>
          <wp:inline distT="0" distB="0" distL="0" distR="0" wp14:anchorId="57AC3154" wp14:editId="03ED4514">
            <wp:extent cx="1981200" cy="571500"/>
            <wp:effectExtent l="0" t="0" r="0" b="0"/>
            <wp:docPr id="16087179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7179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77D40" w14:textId="27E43E63" w:rsidR="00666548" w:rsidRPr="00D742E3" w:rsidRDefault="00E7195A" w:rsidP="00D742E3">
      <w:pPr>
        <w:rPr>
          <w:rFonts w:ascii="Arial" w:hAnsi="Arial"/>
          <w:szCs w:val="20"/>
        </w:rPr>
      </w:pPr>
      <w:r w:rsidRPr="00B91B3F">
        <w:rPr>
          <w:rFonts w:ascii="Arial" w:hAnsi="Arial" w:cs="Arial"/>
        </w:rPr>
        <w:t xml:space="preserve">ANGELA HERLENDY PACHECO RINCON </w:t>
      </w:r>
    </w:p>
    <w:p w14:paraId="3DC7F410" w14:textId="3095D84B" w:rsidR="00E318FA" w:rsidRPr="00B91B3F" w:rsidRDefault="00E318FA" w:rsidP="00666548">
      <w:pPr>
        <w:pStyle w:val="Sinespaciado"/>
        <w:rPr>
          <w:rFonts w:ascii="Arial" w:hAnsi="Arial" w:cs="Arial"/>
          <w:sz w:val="24"/>
          <w:szCs w:val="24"/>
        </w:rPr>
      </w:pPr>
      <w:r w:rsidRPr="00B91B3F">
        <w:rPr>
          <w:rFonts w:ascii="Arial" w:hAnsi="Arial" w:cs="Arial"/>
          <w:sz w:val="24"/>
          <w:szCs w:val="24"/>
        </w:rPr>
        <w:t xml:space="preserve">ASESOR CONTROL INTERNO </w:t>
      </w:r>
    </w:p>
    <w:p w14:paraId="5D043DE9" w14:textId="36D59DF0" w:rsidR="004F543C" w:rsidRPr="00B91B3F" w:rsidRDefault="00E318FA" w:rsidP="00666548">
      <w:pPr>
        <w:pStyle w:val="Sinespaciado"/>
        <w:rPr>
          <w:rFonts w:ascii="Arial" w:hAnsi="Arial" w:cs="Arial"/>
          <w:sz w:val="24"/>
          <w:szCs w:val="24"/>
        </w:rPr>
      </w:pPr>
      <w:r w:rsidRPr="00B91B3F">
        <w:rPr>
          <w:rFonts w:ascii="Arial" w:hAnsi="Arial" w:cs="Arial"/>
          <w:sz w:val="24"/>
          <w:szCs w:val="24"/>
        </w:rPr>
        <w:t>E.S.E. SANTIAGO DE TUNJA</w:t>
      </w:r>
    </w:p>
    <w:p w14:paraId="3C18CA11" w14:textId="36453A8C" w:rsidR="003C77CC" w:rsidRPr="00B91B3F" w:rsidRDefault="003C77CC" w:rsidP="00666548">
      <w:pPr>
        <w:pStyle w:val="Sinespaciado"/>
        <w:rPr>
          <w:rFonts w:ascii="Arial" w:hAnsi="Arial" w:cs="Arial"/>
          <w:sz w:val="24"/>
          <w:szCs w:val="24"/>
        </w:rPr>
      </w:pPr>
    </w:p>
    <w:p w14:paraId="18E3EDE5" w14:textId="77777777" w:rsidR="003C77CC" w:rsidRPr="00B91B3F" w:rsidRDefault="003C77CC" w:rsidP="00666548">
      <w:pPr>
        <w:pStyle w:val="Sinespaciado"/>
        <w:rPr>
          <w:rFonts w:ascii="Arial" w:hAnsi="Arial" w:cs="Arial"/>
          <w:sz w:val="24"/>
          <w:szCs w:val="24"/>
        </w:rPr>
      </w:pPr>
    </w:p>
    <w:sectPr w:rsidR="003C77CC" w:rsidRPr="00B91B3F" w:rsidSect="002F5AC3">
      <w:headerReference w:type="default" r:id="rId9"/>
      <w:footerReference w:type="default" r:id="rId10"/>
      <w:pgSz w:w="12240" w:h="15840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2644" w14:textId="77777777" w:rsidR="00DB33EB" w:rsidRDefault="00DB33EB" w:rsidP="00AE057F">
      <w:r>
        <w:separator/>
      </w:r>
    </w:p>
  </w:endnote>
  <w:endnote w:type="continuationSeparator" w:id="0">
    <w:p w14:paraId="61189FA9" w14:textId="77777777" w:rsidR="00DB33EB" w:rsidRDefault="00DB33EB" w:rsidP="00AE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Times New Roman"/>
    <w:panose1 w:val="020B0604020202020204"/>
    <w:charset w:val="00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25AC" w14:textId="2A79AA98" w:rsidR="002B0E1D" w:rsidRDefault="002B0E1D" w:rsidP="00AE057F">
    <w:pPr>
      <w:pStyle w:val="Piedepgina"/>
      <w:rPr>
        <w:rFonts w:ascii="Jost" w:hAnsi="Jost"/>
        <w:color w:val="1F5672" w:themeColor="text2"/>
      </w:rPr>
    </w:pPr>
    <w:r>
      <w:rPr>
        <w:rFonts w:ascii="Jost" w:hAnsi="Jost"/>
        <w:color w:val="1F5672" w:themeColor="text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B815" w14:textId="77777777" w:rsidR="00DB33EB" w:rsidRDefault="00DB33EB" w:rsidP="00AE057F">
      <w:r>
        <w:separator/>
      </w:r>
    </w:p>
  </w:footnote>
  <w:footnote w:type="continuationSeparator" w:id="0">
    <w:p w14:paraId="3943383B" w14:textId="77777777" w:rsidR="00DB33EB" w:rsidRDefault="00DB33EB" w:rsidP="00AE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E" w14:textId="0C1A7B9D" w:rsidR="00AE057F" w:rsidRDefault="0090309A" w:rsidP="0018730E">
    <w:pPr>
      <w:pStyle w:val="Encabezado"/>
      <w:tabs>
        <w:tab w:val="clear" w:pos="4419"/>
        <w:tab w:val="clear" w:pos="8838"/>
        <w:tab w:val="left" w:pos="1488"/>
      </w:tabs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B5F5CDF" wp14:editId="2DD4D1DA">
          <wp:simplePos x="0" y="0"/>
          <wp:positionH relativeFrom="column">
            <wp:posOffset>-1087755</wp:posOffset>
          </wp:positionH>
          <wp:positionV relativeFrom="paragraph">
            <wp:posOffset>-450215</wp:posOffset>
          </wp:positionV>
          <wp:extent cx="7782799" cy="10071858"/>
          <wp:effectExtent l="0" t="0" r="8890" b="5715"/>
          <wp:wrapNone/>
          <wp:docPr id="11403524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35245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799" cy="10071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3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1D5F8F"/>
    <w:multiLevelType w:val="hybridMultilevel"/>
    <w:tmpl w:val="9B04D7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A1BFAE"/>
    <w:multiLevelType w:val="hybridMultilevel"/>
    <w:tmpl w:val="9E1060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64AE5B"/>
    <w:multiLevelType w:val="hybridMultilevel"/>
    <w:tmpl w:val="D79B0B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EB8C98B"/>
    <w:multiLevelType w:val="hybridMultilevel"/>
    <w:tmpl w:val="224040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93743E5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89310A"/>
    <w:multiLevelType w:val="hybridMultilevel"/>
    <w:tmpl w:val="1CC06A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4852C9"/>
    <w:multiLevelType w:val="hybridMultilevel"/>
    <w:tmpl w:val="43A222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2F0948"/>
    <w:multiLevelType w:val="hybridMultilevel"/>
    <w:tmpl w:val="A1FE04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C0B9F"/>
    <w:multiLevelType w:val="hybridMultilevel"/>
    <w:tmpl w:val="0B72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0D21"/>
    <w:multiLevelType w:val="hybridMultilevel"/>
    <w:tmpl w:val="73002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6A852"/>
    <w:multiLevelType w:val="hybridMultilevel"/>
    <w:tmpl w:val="25CED8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9B24FED"/>
    <w:multiLevelType w:val="hybridMultilevel"/>
    <w:tmpl w:val="598481B8"/>
    <w:lvl w:ilvl="0" w:tplc="05D61B5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01E4F"/>
    <w:multiLevelType w:val="hybridMultilevel"/>
    <w:tmpl w:val="E3A48C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011C7"/>
    <w:multiLevelType w:val="hybridMultilevel"/>
    <w:tmpl w:val="4498E8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F2E4A"/>
    <w:multiLevelType w:val="hybridMultilevel"/>
    <w:tmpl w:val="B1021C2E"/>
    <w:lvl w:ilvl="0" w:tplc="9A02AB5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5682A"/>
    <w:multiLevelType w:val="hybridMultilevel"/>
    <w:tmpl w:val="77B02B44"/>
    <w:lvl w:ilvl="0" w:tplc="CD386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DE7AB7"/>
    <w:multiLevelType w:val="hybridMultilevel"/>
    <w:tmpl w:val="DCC8908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40315"/>
    <w:multiLevelType w:val="hybridMultilevel"/>
    <w:tmpl w:val="E2A0B472"/>
    <w:lvl w:ilvl="0" w:tplc="2688B9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4A44"/>
    <w:multiLevelType w:val="hybridMultilevel"/>
    <w:tmpl w:val="9572D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21709"/>
    <w:multiLevelType w:val="hybridMultilevel"/>
    <w:tmpl w:val="D43810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457FF"/>
    <w:multiLevelType w:val="multilevel"/>
    <w:tmpl w:val="EA882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6F45317"/>
    <w:multiLevelType w:val="hybridMultilevel"/>
    <w:tmpl w:val="7E945CC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0712E"/>
    <w:multiLevelType w:val="hybridMultilevel"/>
    <w:tmpl w:val="835A797A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32747EB"/>
    <w:multiLevelType w:val="hybridMultilevel"/>
    <w:tmpl w:val="7E8C5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E4B28"/>
    <w:multiLevelType w:val="hybridMultilevel"/>
    <w:tmpl w:val="E982DE06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FEE05FA"/>
    <w:multiLevelType w:val="hybridMultilevel"/>
    <w:tmpl w:val="F20659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B7501"/>
    <w:multiLevelType w:val="hybridMultilevel"/>
    <w:tmpl w:val="2880FC0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955B8"/>
    <w:multiLevelType w:val="hybridMultilevel"/>
    <w:tmpl w:val="7F623FC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00E6D"/>
    <w:multiLevelType w:val="hybridMultilevel"/>
    <w:tmpl w:val="A5BA7D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C3BE8"/>
    <w:multiLevelType w:val="hybridMultilevel"/>
    <w:tmpl w:val="4AAAC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E7176"/>
    <w:multiLevelType w:val="hybridMultilevel"/>
    <w:tmpl w:val="F81E4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B5839"/>
    <w:multiLevelType w:val="hybridMultilevel"/>
    <w:tmpl w:val="BBD67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C77FF"/>
    <w:multiLevelType w:val="hybridMultilevel"/>
    <w:tmpl w:val="6C6E24F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139925">
    <w:abstractNumId w:val="17"/>
  </w:num>
  <w:num w:numId="2" w16cid:durableId="1904558361">
    <w:abstractNumId w:val="15"/>
  </w:num>
  <w:num w:numId="3" w16cid:durableId="1462572863">
    <w:abstractNumId w:val="30"/>
  </w:num>
  <w:num w:numId="4" w16cid:durableId="366948815">
    <w:abstractNumId w:val="4"/>
  </w:num>
  <w:num w:numId="5" w16cid:durableId="744109611">
    <w:abstractNumId w:val="7"/>
  </w:num>
  <w:num w:numId="6" w16cid:durableId="1171142453">
    <w:abstractNumId w:val="6"/>
  </w:num>
  <w:num w:numId="7" w16cid:durableId="35080355">
    <w:abstractNumId w:val="5"/>
  </w:num>
  <w:num w:numId="8" w16cid:durableId="1768192422">
    <w:abstractNumId w:val="19"/>
  </w:num>
  <w:num w:numId="9" w16cid:durableId="2135050941">
    <w:abstractNumId w:val="27"/>
  </w:num>
  <w:num w:numId="10" w16cid:durableId="1694841437">
    <w:abstractNumId w:val="16"/>
  </w:num>
  <w:num w:numId="11" w16cid:durableId="691878221">
    <w:abstractNumId w:val="26"/>
  </w:num>
  <w:num w:numId="12" w16cid:durableId="1859194842">
    <w:abstractNumId w:val="21"/>
  </w:num>
  <w:num w:numId="13" w16cid:durableId="99955172">
    <w:abstractNumId w:val="24"/>
  </w:num>
  <w:num w:numId="14" w16cid:durableId="244807410">
    <w:abstractNumId w:val="22"/>
  </w:num>
  <w:num w:numId="15" w16cid:durableId="1061908826">
    <w:abstractNumId w:val="20"/>
  </w:num>
  <w:num w:numId="16" w16cid:durableId="932662176">
    <w:abstractNumId w:val="32"/>
  </w:num>
  <w:num w:numId="17" w16cid:durableId="1504008252">
    <w:abstractNumId w:val="9"/>
  </w:num>
  <w:num w:numId="18" w16cid:durableId="507254105">
    <w:abstractNumId w:val="25"/>
  </w:num>
  <w:num w:numId="19" w16cid:durableId="873470012">
    <w:abstractNumId w:val="13"/>
  </w:num>
  <w:num w:numId="20" w16cid:durableId="1768424855">
    <w:abstractNumId w:val="12"/>
  </w:num>
  <w:num w:numId="21" w16cid:durableId="1361932723">
    <w:abstractNumId w:val="1"/>
  </w:num>
  <w:num w:numId="22" w16cid:durableId="1686327262">
    <w:abstractNumId w:val="0"/>
  </w:num>
  <w:num w:numId="23" w16cid:durableId="272321259">
    <w:abstractNumId w:val="2"/>
  </w:num>
  <w:num w:numId="24" w16cid:durableId="1536622970">
    <w:abstractNumId w:val="3"/>
  </w:num>
  <w:num w:numId="25" w16cid:durableId="1836190958">
    <w:abstractNumId w:val="18"/>
  </w:num>
  <w:num w:numId="26" w16cid:durableId="2049181450">
    <w:abstractNumId w:val="23"/>
  </w:num>
  <w:num w:numId="27" w16cid:durableId="965042745">
    <w:abstractNumId w:val="10"/>
  </w:num>
  <w:num w:numId="28" w16cid:durableId="2105758451">
    <w:abstractNumId w:val="31"/>
  </w:num>
  <w:num w:numId="29" w16cid:durableId="1962611017">
    <w:abstractNumId w:val="8"/>
  </w:num>
  <w:num w:numId="30" w16cid:durableId="695695515">
    <w:abstractNumId w:val="29"/>
  </w:num>
  <w:num w:numId="31" w16cid:durableId="1299339242">
    <w:abstractNumId w:val="28"/>
  </w:num>
  <w:num w:numId="32" w16cid:durableId="1203635546">
    <w:abstractNumId w:val="11"/>
  </w:num>
  <w:num w:numId="33" w16cid:durableId="2121488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7F"/>
    <w:rsid w:val="0001486B"/>
    <w:rsid w:val="00016BA6"/>
    <w:rsid w:val="00037708"/>
    <w:rsid w:val="00071A1B"/>
    <w:rsid w:val="00081121"/>
    <w:rsid w:val="00094007"/>
    <w:rsid w:val="000E3C05"/>
    <w:rsid w:val="000F38B7"/>
    <w:rsid w:val="001117C4"/>
    <w:rsid w:val="001156C6"/>
    <w:rsid w:val="00135FF1"/>
    <w:rsid w:val="0015722A"/>
    <w:rsid w:val="00163C07"/>
    <w:rsid w:val="00176851"/>
    <w:rsid w:val="0018730E"/>
    <w:rsid w:val="001926D7"/>
    <w:rsid w:val="001B4025"/>
    <w:rsid w:val="001C44CC"/>
    <w:rsid w:val="001E7917"/>
    <w:rsid w:val="001E7D1D"/>
    <w:rsid w:val="00210D22"/>
    <w:rsid w:val="002246C0"/>
    <w:rsid w:val="00250668"/>
    <w:rsid w:val="002835D5"/>
    <w:rsid w:val="00286ADB"/>
    <w:rsid w:val="00296D6F"/>
    <w:rsid w:val="002B0E1D"/>
    <w:rsid w:val="002C40D1"/>
    <w:rsid w:val="002D0F9E"/>
    <w:rsid w:val="002D3F65"/>
    <w:rsid w:val="002E0072"/>
    <w:rsid w:val="002E0889"/>
    <w:rsid w:val="002E2B9B"/>
    <w:rsid w:val="002F3889"/>
    <w:rsid w:val="002F5AC3"/>
    <w:rsid w:val="003311CA"/>
    <w:rsid w:val="003335E1"/>
    <w:rsid w:val="00343950"/>
    <w:rsid w:val="00343E55"/>
    <w:rsid w:val="00371B84"/>
    <w:rsid w:val="003A26B0"/>
    <w:rsid w:val="003A4677"/>
    <w:rsid w:val="003B4395"/>
    <w:rsid w:val="003B48A5"/>
    <w:rsid w:val="003C77CC"/>
    <w:rsid w:val="003D6AE8"/>
    <w:rsid w:val="003F4B37"/>
    <w:rsid w:val="00442FC3"/>
    <w:rsid w:val="004448D0"/>
    <w:rsid w:val="004A45B4"/>
    <w:rsid w:val="004A5394"/>
    <w:rsid w:val="004F543C"/>
    <w:rsid w:val="004F7E6A"/>
    <w:rsid w:val="00510259"/>
    <w:rsid w:val="00510A23"/>
    <w:rsid w:val="0052404E"/>
    <w:rsid w:val="005433C5"/>
    <w:rsid w:val="00564206"/>
    <w:rsid w:val="00564CFF"/>
    <w:rsid w:val="00577286"/>
    <w:rsid w:val="00581616"/>
    <w:rsid w:val="005A3EC5"/>
    <w:rsid w:val="005A676D"/>
    <w:rsid w:val="00617B31"/>
    <w:rsid w:val="0062479E"/>
    <w:rsid w:val="006257C9"/>
    <w:rsid w:val="00630A10"/>
    <w:rsid w:val="006448B9"/>
    <w:rsid w:val="00651AFF"/>
    <w:rsid w:val="00666548"/>
    <w:rsid w:val="00674815"/>
    <w:rsid w:val="00684A43"/>
    <w:rsid w:val="0068706B"/>
    <w:rsid w:val="006A2AA1"/>
    <w:rsid w:val="006A3299"/>
    <w:rsid w:val="006B1E12"/>
    <w:rsid w:val="006E1A65"/>
    <w:rsid w:val="006F0D4C"/>
    <w:rsid w:val="006F2EE6"/>
    <w:rsid w:val="006F61ED"/>
    <w:rsid w:val="00703F81"/>
    <w:rsid w:val="00713BC6"/>
    <w:rsid w:val="0072364D"/>
    <w:rsid w:val="00740041"/>
    <w:rsid w:val="007740FD"/>
    <w:rsid w:val="00794331"/>
    <w:rsid w:val="007970F2"/>
    <w:rsid w:val="007B26DD"/>
    <w:rsid w:val="007B2CCD"/>
    <w:rsid w:val="007D7787"/>
    <w:rsid w:val="007E5644"/>
    <w:rsid w:val="0080393E"/>
    <w:rsid w:val="0080407A"/>
    <w:rsid w:val="00841676"/>
    <w:rsid w:val="0085594E"/>
    <w:rsid w:val="008750B2"/>
    <w:rsid w:val="008762BC"/>
    <w:rsid w:val="008968D8"/>
    <w:rsid w:val="00896DF6"/>
    <w:rsid w:val="008A38FA"/>
    <w:rsid w:val="008B6866"/>
    <w:rsid w:val="009027AF"/>
    <w:rsid w:val="0090309A"/>
    <w:rsid w:val="00915A6C"/>
    <w:rsid w:val="009266E0"/>
    <w:rsid w:val="00956F3C"/>
    <w:rsid w:val="00972E30"/>
    <w:rsid w:val="009865E7"/>
    <w:rsid w:val="009D093A"/>
    <w:rsid w:val="009D1FBC"/>
    <w:rsid w:val="009E6C23"/>
    <w:rsid w:val="00A030AD"/>
    <w:rsid w:val="00A2270F"/>
    <w:rsid w:val="00A253FF"/>
    <w:rsid w:val="00A372E1"/>
    <w:rsid w:val="00A51C8A"/>
    <w:rsid w:val="00A96802"/>
    <w:rsid w:val="00AA1AB4"/>
    <w:rsid w:val="00AA6AC4"/>
    <w:rsid w:val="00AB27EC"/>
    <w:rsid w:val="00AB6EFD"/>
    <w:rsid w:val="00AE057F"/>
    <w:rsid w:val="00AE4BEF"/>
    <w:rsid w:val="00AF334B"/>
    <w:rsid w:val="00AF58CD"/>
    <w:rsid w:val="00B343E5"/>
    <w:rsid w:val="00B67C52"/>
    <w:rsid w:val="00B76669"/>
    <w:rsid w:val="00B774FA"/>
    <w:rsid w:val="00B81F7F"/>
    <w:rsid w:val="00B901E6"/>
    <w:rsid w:val="00B91B3F"/>
    <w:rsid w:val="00B96568"/>
    <w:rsid w:val="00BA55AA"/>
    <w:rsid w:val="00BB5C48"/>
    <w:rsid w:val="00BD45E8"/>
    <w:rsid w:val="00C00E98"/>
    <w:rsid w:val="00C241EB"/>
    <w:rsid w:val="00C66DBD"/>
    <w:rsid w:val="00CA0CFE"/>
    <w:rsid w:val="00CB0C84"/>
    <w:rsid w:val="00CD65C7"/>
    <w:rsid w:val="00CF02B4"/>
    <w:rsid w:val="00CF4E33"/>
    <w:rsid w:val="00D14181"/>
    <w:rsid w:val="00D35D8A"/>
    <w:rsid w:val="00D742E3"/>
    <w:rsid w:val="00D82C3F"/>
    <w:rsid w:val="00D86F1A"/>
    <w:rsid w:val="00D9037D"/>
    <w:rsid w:val="00D92951"/>
    <w:rsid w:val="00DB33EB"/>
    <w:rsid w:val="00DB682D"/>
    <w:rsid w:val="00DD76E2"/>
    <w:rsid w:val="00DF60E1"/>
    <w:rsid w:val="00E10A4B"/>
    <w:rsid w:val="00E318FA"/>
    <w:rsid w:val="00E32B96"/>
    <w:rsid w:val="00E524E5"/>
    <w:rsid w:val="00E7195A"/>
    <w:rsid w:val="00E77E4B"/>
    <w:rsid w:val="00E877CF"/>
    <w:rsid w:val="00E95A96"/>
    <w:rsid w:val="00EA7A71"/>
    <w:rsid w:val="00EC15E4"/>
    <w:rsid w:val="00EC3848"/>
    <w:rsid w:val="00ED7847"/>
    <w:rsid w:val="00F219EB"/>
    <w:rsid w:val="00F416B2"/>
    <w:rsid w:val="00F426B4"/>
    <w:rsid w:val="00F63311"/>
    <w:rsid w:val="00F7009D"/>
    <w:rsid w:val="00FB0F9C"/>
    <w:rsid w:val="00FB296E"/>
    <w:rsid w:val="00FB593F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C7D63"/>
  <w15:docId w15:val="{1E80BC8F-C6B3-4954-A93F-D7031EA4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B0C8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B5388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57F"/>
    <w:pPr>
      <w:tabs>
        <w:tab w:val="center" w:pos="4419"/>
        <w:tab w:val="right" w:pos="8838"/>
      </w:tabs>
    </w:pPr>
    <w:rPr>
      <w:rFonts w:ascii="Arial" w:hAnsi="Arial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E057F"/>
  </w:style>
  <w:style w:type="paragraph" w:styleId="Piedepgina">
    <w:name w:val="footer"/>
    <w:basedOn w:val="Normal"/>
    <w:link w:val="PiedepginaCar"/>
    <w:uiPriority w:val="99"/>
    <w:unhideWhenUsed/>
    <w:rsid w:val="00AE057F"/>
    <w:pPr>
      <w:tabs>
        <w:tab w:val="center" w:pos="4419"/>
        <w:tab w:val="right" w:pos="8838"/>
      </w:tabs>
    </w:pPr>
    <w:rPr>
      <w:rFonts w:ascii="Arial" w:hAnsi="Arial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057F"/>
  </w:style>
  <w:style w:type="character" w:styleId="Hipervnculo">
    <w:name w:val="Hyperlink"/>
    <w:basedOn w:val="Fuentedeprrafopredeter"/>
    <w:uiPriority w:val="99"/>
    <w:unhideWhenUsed/>
    <w:rsid w:val="00AE057F"/>
    <w:rPr>
      <w:color w:val="54A838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B0C84"/>
    <w:rPr>
      <w:rFonts w:asciiTheme="majorHAnsi" w:eastAsiaTheme="majorEastAsia" w:hAnsiTheme="majorHAnsi" w:cstheme="majorBidi"/>
      <w:b/>
      <w:bCs/>
      <w:color w:val="0B5388" w:themeColor="accent1" w:themeShade="BF"/>
      <w:sz w:val="28"/>
      <w:szCs w:val="28"/>
      <w:lang w:val="es-CO"/>
    </w:rPr>
  </w:style>
  <w:style w:type="paragraph" w:styleId="Prrafodelista">
    <w:name w:val="List Paragraph"/>
    <w:basedOn w:val="Normal"/>
    <w:uiPriority w:val="34"/>
    <w:qFormat/>
    <w:rsid w:val="00CB0C84"/>
    <w:pPr>
      <w:spacing w:after="200" w:line="276" w:lineRule="auto"/>
      <w:ind w:left="720"/>
      <w:contextualSpacing/>
    </w:pPr>
    <w:rPr>
      <w:rFonts w:ascii="Arial" w:hAnsi="Arial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B0C84"/>
    <w:pPr>
      <w:suppressAutoHyphens/>
      <w:spacing w:line="200" w:lineRule="atLeast"/>
      <w:jc w:val="both"/>
    </w:pPr>
    <w:rPr>
      <w:rFonts w:ascii="Calibri" w:eastAsia="Calibri" w:hAnsi="Calibri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B0C84"/>
    <w:rPr>
      <w:rFonts w:ascii="Calibri" w:eastAsia="Calibri" w:hAnsi="Calibri" w:cs="Times New Roman"/>
      <w:sz w:val="24"/>
      <w:szCs w:val="24"/>
      <w:lang w:val="es-CO" w:eastAsia="ar-SA"/>
    </w:rPr>
  </w:style>
  <w:style w:type="paragraph" w:customStyle="1" w:styleId="CM1">
    <w:name w:val="CM1"/>
    <w:basedOn w:val="Normal"/>
    <w:next w:val="Normal"/>
    <w:uiPriority w:val="99"/>
    <w:rsid w:val="00CB0C84"/>
    <w:pPr>
      <w:widowControl w:val="0"/>
      <w:autoSpaceDE w:val="0"/>
      <w:autoSpaceDN w:val="0"/>
      <w:adjustRightInd w:val="0"/>
    </w:pPr>
    <w:rPr>
      <w:rFonts w:ascii="Helvetica" w:hAnsi="Helvetica" w:cs="Helvetica"/>
      <w:lang w:val="es-ES" w:eastAsia="es-ES"/>
    </w:rPr>
  </w:style>
  <w:style w:type="paragraph" w:customStyle="1" w:styleId="CM2">
    <w:name w:val="CM2"/>
    <w:basedOn w:val="Normal"/>
    <w:next w:val="Normal"/>
    <w:uiPriority w:val="99"/>
    <w:rsid w:val="00CB0C84"/>
    <w:pPr>
      <w:widowControl w:val="0"/>
      <w:autoSpaceDE w:val="0"/>
      <w:autoSpaceDN w:val="0"/>
      <w:adjustRightInd w:val="0"/>
      <w:spacing w:line="248" w:lineRule="atLeast"/>
    </w:pPr>
    <w:rPr>
      <w:rFonts w:ascii="Helvetica" w:hAnsi="Helvetica" w:cs="Helvetica"/>
      <w:lang w:val="es-ES" w:eastAsia="es-ES"/>
    </w:rPr>
  </w:style>
  <w:style w:type="paragraph" w:styleId="Sinespaciado">
    <w:name w:val="No Spacing"/>
    <w:link w:val="SinespaciadoCar"/>
    <w:uiPriority w:val="1"/>
    <w:qFormat/>
    <w:rsid w:val="003A26B0"/>
    <w:pPr>
      <w:spacing w:after="0" w:line="240" w:lineRule="auto"/>
    </w:pPr>
    <w:rPr>
      <w:lang w:val="es-419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8706B"/>
    <w:pPr>
      <w:spacing w:after="120" w:line="480" w:lineRule="auto"/>
    </w:pPr>
    <w:rPr>
      <w:rFonts w:ascii="Arial" w:hAnsi="Arial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8706B"/>
  </w:style>
  <w:style w:type="paragraph" w:styleId="Listaconvietas">
    <w:name w:val="List Bullet"/>
    <w:basedOn w:val="Normal"/>
    <w:rsid w:val="0068706B"/>
    <w:pPr>
      <w:numPr>
        <w:numId w:val="4"/>
      </w:numPr>
      <w:contextualSpacing/>
    </w:pPr>
    <w:rPr>
      <w:rFonts w:ascii="Arial" w:hAnsi="Arial"/>
      <w:szCs w:val="20"/>
      <w:lang w:eastAsia="es-ES"/>
    </w:rPr>
  </w:style>
  <w:style w:type="paragraph" w:customStyle="1" w:styleId="Textonotapie1">
    <w:name w:val="Texto nota pie1"/>
    <w:basedOn w:val="Normal"/>
    <w:next w:val="Textonotapie"/>
    <w:link w:val="TextonotapieCar"/>
    <w:unhideWhenUsed/>
    <w:rsid w:val="0068706B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link w:val="Textonotapie1"/>
    <w:rsid w:val="0068706B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unhideWhenUsed/>
    <w:rsid w:val="0068706B"/>
    <w:rPr>
      <w:vertAlign w:val="superscript"/>
    </w:rPr>
  </w:style>
  <w:style w:type="paragraph" w:styleId="Textonotapie">
    <w:name w:val="footnote text"/>
    <w:basedOn w:val="Normal"/>
    <w:link w:val="TextonotapieCar1"/>
    <w:rsid w:val="0068706B"/>
    <w:rPr>
      <w:rFonts w:ascii="Arial" w:hAnsi="Arial"/>
      <w:sz w:val="20"/>
      <w:szCs w:val="20"/>
      <w:lang w:eastAsia="es-ES"/>
    </w:rPr>
  </w:style>
  <w:style w:type="character" w:customStyle="1" w:styleId="TextonotapieCar1">
    <w:name w:val="Texto nota pie Car1"/>
    <w:basedOn w:val="Fuentedeprrafopredeter"/>
    <w:link w:val="Textonotapie"/>
    <w:rsid w:val="0068706B"/>
    <w:rPr>
      <w:rFonts w:ascii="Arial" w:eastAsia="Times New Roman" w:hAnsi="Arial" w:cs="Times New Roman"/>
      <w:sz w:val="20"/>
      <w:szCs w:val="20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F219EB"/>
    <w:rPr>
      <w:lang w:val="es-419"/>
    </w:rPr>
  </w:style>
  <w:style w:type="paragraph" w:styleId="Lista">
    <w:name w:val="List"/>
    <w:basedOn w:val="Normal"/>
    <w:rsid w:val="00F219EB"/>
    <w:pPr>
      <w:ind w:left="283" w:hanging="283"/>
    </w:pPr>
    <w:rPr>
      <w:lang w:val="es-ES" w:eastAsia="es-ES"/>
    </w:rPr>
  </w:style>
  <w:style w:type="paragraph" w:customStyle="1" w:styleId="Default">
    <w:name w:val="Default"/>
    <w:rsid w:val="00FB5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66548"/>
    <w:pPr>
      <w:spacing w:before="100" w:beforeAutospacing="1" w:after="100" w:afterAutospacing="1"/>
    </w:pPr>
    <w:rPr>
      <w:lang w:val="en-U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665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666548"/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s-ES"/>
    </w:rPr>
  </w:style>
  <w:style w:type="character" w:customStyle="1" w:styleId="apple-converted-space">
    <w:name w:val="apple-converted-space"/>
    <w:basedOn w:val="Fuentedeprrafopredeter"/>
    <w:rsid w:val="00B91B3F"/>
  </w:style>
  <w:style w:type="character" w:styleId="Textoennegrita">
    <w:name w:val="Strong"/>
    <w:basedOn w:val="Fuentedeprrafopredeter"/>
    <w:uiPriority w:val="22"/>
    <w:qFormat/>
    <w:rsid w:val="00B91B3F"/>
    <w:rPr>
      <w:b/>
      <w:bCs/>
    </w:rPr>
  </w:style>
  <w:style w:type="paragraph" w:customStyle="1" w:styleId="p1">
    <w:name w:val="p1"/>
    <w:basedOn w:val="Normal"/>
    <w:rsid w:val="00E77E4B"/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ALCALDIA E.S.E.">
      <a:dk1>
        <a:srgbClr val="262626"/>
      </a:dk1>
      <a:lt1>
        <a:srgbClr val="F0C900"/>
      </a:lt1>
      <a:dk2>
        <a:srgbClr val="1F5672"/>
      </a:dk2>
      <a:lt2>
        <a:srgbClr val="D9EBF4"/>
      </a:lt2>
      <a:accent1>
        <a:srgbClr val="0F70B6"/>
      </a:accent1>
      <a:accent2>
        <a:srgbClr val="35A7BA"/>
      </a:accent2>
      <a:accent3>
        <a:srgbClr val="08B7EB"/>
      </a:accent3>
      <a:accent4>
        <a:srgbClr val="A3ACB2"/>
      </a:accent4>
      <a:accent5>
        <a:srgbClr val="F0C900"/>
      </a:accent5>
      <a:accent6>
        <a:srgbClr val="0F70B6"/>
      </a:accent6>
      <a:hlink>
        <a:srgbClr val="54A838"/>
      </a:hlink>
      <a:folHlink>
        <a:srgbClr val="08B7EB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B26F-F152-4410-9F47-8A9AB123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1583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Paula  Torres</cp:lastModifiedBy>
  <cp:revision>2</cp:revision>
  <cp:lastPrinted>2023-04-17T21:08:00Z</cp:lastPrinted>
  <dcterms:created xsi:type="dcterms:W3CDTF">2025-05-03T03:55:00Z</dcterms:created>
  <dcterms:modified xsi:type="dcterms:W3CDTF">2025-05-03T03:55:00Z</dcterms:modified>
</cp:coreProperties>
</file>