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76C45B" w14:textId="77777777" w:rsidR="006E278C" w:rsidRPr="006E278C" w:rsidRDefault="006E278C" w:rsidP="006E278C">
      <w:pPr>
        <w:pStyle w:val="TableParagraph"/>
        <w:spacing w:line="287" w:lineRule="exact"/>
        <w:ind w:right="428"/>
        <w:jc w:val="center"/>
        <w:rPr>
          <w:b/>
        </w:rPr>
      </w:pPr>
      <w:r w:rsidRPr="006E278C">
        <w:rPr>
          <w:b/>
        </w:rPr>
        <w:t>INFORME</w:t>
      </w:r>
      <w:r w:rsidRPr="006E278C">
        <w:rPr>
          <w:b/>
          <w:spacing w:val="-10"/>
        </w:rPr>
        <w:t xml:space="preserve"> </w:t>
      </w:r>
      <w:r w:rsidRPr="006E278C">
        <w:rPr>
          <w:b/>
        </w:rPr>
        <w:t>DE</w:t>
      </w:r>
      <w:r w:rsidRPr="006E278C">
        <w:rPr>
          <w:b/>
          <w:spacing w:val="-8"/>
        </w:rPr>
        <w:t xml:space="preserve"> </w:t>
      </w:r>
      <w:r w:rsidRPr="006E278C">
        <w:rPr>
          <w:b/>
        </w:rPr>
        <w:t>EVALUACION</w:t>
      </w:r>
      <w:r w:rsidRPr="006E278C">
        <w:rPr>
          <w:b/>
          <w:spacing w:val="-9"/>
        </w:rPr>
        <w:t xml:space="preserve"> </w:t>
      </w:r>
      <w:r w:rsidRPr="006E278C">
        <w:rPr>
          <w:b/>
        </w:rPr>
        <w:t>DEL</w:t>
      </w:r>
      <w:r w:rsidRPr="006E278C">
        <w:rPr>
          <w:b/>
          <w:spacing w:val="-6"/>
        </w:rPr>
        <w:t xml:space="preserve"> </w:t>
      </w:r>
      <w:r w:rsidRPr="006E278C">
        <w:rPr>
          <w:b/>
        </w:rPr>
        <w:t>SISTEMA</w:t>
      </w:r>
      <w:r w:rsidRPr="006E278C">
        <w:rPr>
          <w:b/>
          <w:spacing w:val="-5"/>
        </w:rPr>
        <w:t xml:space="preserve"> </w:t>
      </w:r>
      <w:r w:rsidRPr="006E278C">
        <w:rPr>
          <w:b/>
        </w:rPr>
        <w:t>DE</w:t>
      </w:r>
      <w:r w:rsidRPr="006E278C">
        <w:rPr>
          <w:b/>
          <w:spacing w:val="-8"/>
        </w:rPr>
        <w:t xml:space="preserve"> </w:t>
      </w:r>
      <w:r w:rsidRPr="006E278C">
        <w:rPr>
          <w:b/>
        </w:rPr>
        <w:t>CONTROL</w:t>
      </w:r>
      <w:r w:rsidRPr="006E278C">
        <w:rPr>
          <w:b/>
          <w:spacing w:val="-5"/>
        </w:rPr>
        <w:t xml:space="preserve"> </w:t>
      </w:r>
      <w:r w:rsidRPr="006E278C">
        <w:rPr>
          <w:b/>
          <w:spacing w:val="-2"/>
        </w:rPr>
        <w:t>INTERNO</w:t>
      </w:r>
    </w:p>
    <w:p w14:paraId="345B6EC9" w14:textId="24DAF3A7" w:rsidR="005F6BF4" w:rsidRDefault="006E278C" w:rsidP="006E278C">
      <w:pPr>
        <w:pStyle w:val="Sinespaciado"/>
        <w:jc w:val="both"/>
        <w:rPr>
          <w:rFonts w:ascii="Tahoma" w:hAnsi="Tahoma" w:cs="Tahoma"/>
          <w:b/>
          <w:spacing w:val="-4"/>
        </w:rPr>
      </w:pPr>
      <w:r>
        <w:rPr>
          <w:rFonts w:ascii="Tahoma" w:hAnsi="Tahoma" w:cs="Tahoma"/>
          <w:b/>
        </w:rPr>
        <w:t xml:space="preserve">                                            </w:t>
      </w:r>
      <w:r w:rsidRPr="006E278C">
        <w:rPr>
          <w:rFonts w:ascii="Tahoma" w:hAnsi="Tahoma" w:cs="Tahoma"/>
          <w:b/>
        </w:rPr>
        <w:t>ESE</w:t>
      </w:r>
      <w:r w:rsidRPr="006E278C">
        <w:rPr>
          <w:rFonts w:ascii="Tahoma" w:hAnsi="Tahoma" w:cs="Tahoma"/>
          <w:b/>
          <w:spacing w:val="-1"/>
        </w:rPr>
        <w:t xml:space="preserve"> </w:t>
      </w:r>
      <w:r w:rsidRPr="006E278C">
        <w:rPr>
          <w:rFonts w:ascii="Tahoma" w:hAnsi="Tahoma" w:cs="Tahoma"/>
          <w:b/>
        </w:rPr>
        <w:t>SANTIAGO</w:t>
      </w:r>
      <w:r w:rsidRPr="006E278C">
        <w:rPr>
          <w:rFonts w:ascii="Tahoma" w:hAnsi="Tahoma" w:cs="Tahoma"/>
          <w:b/>
          <w:spacing w:val="-3"/>
        </w:rPr>
        <w:t xml:space="preserve"> </w:t>
      </w:r>
      <w:r w:rsidRPr="006E278C">
        <w:rPr>
          <w:rFonts w:ascii="Tahoma" w:hAnsi="Tahoma" w:cs="Tahoma"/>
          <w:b/>
        </w:rPr>
        <w:t>DE</w:t>
      </w:r>
      <w:r w:rsidRPr="006E278C">
        <w:rPr>
          <w:rFonts w:ascii="Tahoma" w:hAnsi="Tahoma" w:cs="Tahoma"/>
          <w:b/>
          <w:spacing w:val="-1"/>
        </w:rPr>
        <w:t xml:space="preserve"> </w:t>
      </w:r>
      <w:r w:rsidRPr="006E278C">
        <w:rPr>
          <w:rFonts w:ascii="Tahoma" w:hAnsi="Tahoma" w:cs="Tahoma"/>
          <w:b/>
          <w:spacing w:val="-4"/>
        </w:rPr>
        <w:t>TUNJA</w:t>
      </w:r>
    </w:p>
    <w:p w14:paraId="0D6DC71F" w14:textId="77777777" w:rsidR="0068685A" w:rsidRDefault="0068685A" w:rsidP="006E278C">
      <w:pPr>
        <w:pStyle w:val="Sinespaciado"/>
        <w:jc w:val="both"/>
        <w:rPr>
          <w:rFonts w:ascii="Tahoma" w:hAnsi="Tahoma" w:cs="Tahoma"/>
          <w:b/>
          <w:spacing w:val="-4"/>
        </w:rPr>
      </w:pPr>
    </w:p>
    <w:p w14:paraId="14DE8D1C" w14:textId="77777777" w:rsidR="0068685A" w:rsidRPr="006E278C" w:rsidRDefault="0068685A" w:rsidP="006E278C">
      <w:pPr>
        <w:pStyle w:val="Sinespaciado"/>
        <w:jc w:val="both"/>
        <w:rPr>
          <w:rFonts w:ascii="Tahoma" w:hAnsi="Tahoma" w:cs="Tahoma"/>
        </w:rPr>
      </w:pPr>
    </w:p>
    <w:p w14:paraId="49F8AD1D" w14:textId="665C7AB4" w:rsidR="00A741A3" w:rsidRDefault="00E04959" w:rsidP="008F468F">
      <w:pPr>
        <w:jc w:val="both"/>
        <w:rPr>
          <w:b/>
        </w:rPr>
      </w:pPr>
      <w:r>
        <w:rPr>
          <w:b/>
        </w:rPr>
        <w:t xml:space="preserve"> </w:t>
      </w:r>
      <w:r w:rsidR="0068685A">
        <w:rPr>
          <w:b/>
        </w:rPr>
        <w:t>Evaluación</w:t>
      </w:r>
      <w:r w:rsidR="0068685A">
        <w:rPr>
          <w:b/>
          <w:spacing w:val="-8"/>
        </w:rPr>
        <w:t xml:space="preserve"> </w:t>
      </w:r>
      <w:r w:rsidR="0068685A">
        <w:rPr>
          <w:b/>
        </w:rPr>
        <w:t>independiente sistema</w:t>
      </w:r>
      <w:r w:rsidR="0068685A">
        <w:rPr>
          <w:b/>
          <w:spacing w:val="-18"/>
        </w:rPr>
        <w:t xml:space="preserve"> </w:t>
      </w:r>
      <w:r w:rsidR="0068685A">
        <w:rPr>
          <w:b/>
        </w:rPr>
        <w:t>de</w:t>
      </w:r>
      <w:r w:rsidR="0068685A">
        <w:rPr>
          <w:b/>
          <w:spacing w:val="-18"/>
        </w:rPr>
        <w:t xml:space="preserve"> </w:t>
      </w:r>
      <w:r w:rsidR="0068685A">
        <w:rPr>
          <w:b/>
        </w:rPr>
        <w:t>control</w:t>
      </w:r>
      <w:r w:rsidR="0068685A">
        <w:rPr>
          <w:b/>
          <w:spacing w:val="-17"/>
        </w:rPr>
        <w:t xml:space="preserve"> </w:t>
      </w:r>
      <w:r w:rsidR="0068685A">
        <w:rPr>
          <w:b/>
        </w:rPr>
        <w:t>interno diciembre 2025.</w:t>
      </w:r>
    </w:p>
    <w:p w14:paraId="62F54D23" w14:textId="31E65B29" w:rsidR="0068685A" w:rsidRDefault="00E04959" w:rsidP="008F468F">
      <w:pPr>
        <w:jc w:val="both"/>
        <w:rPr>
          <w:b/>
        </w:rPr>
      </w:pPr>
      <w:r>
        <w:rPr>
          <w:b/>
        </w:rPr>
        <w:t xml:space="preserve"> </w:t>
      </w:r>
    </w:p>
    <w:p w14:paraId="62242A52" w14:textId="070F05C1" w:rsidR="0068685A" w:rsidRDefault="00E04959" w:rsidP="0068685A">
      <w:pPr>
        <w:pStyle w:val="TableParagraph"/>
        <w:spacing w:line="262" w:lineRule="exact"/>
        <w:rPr>
          <w:b/>
          <w:spacing w:val="-4"/>
          <w:sz w:val="24"/>
        </w:rPr>
      </w:pPr>
      <w:r>
        <w:rPr>
          <w:b/>
          <w:sz w:val="24"/>
        </w:rPr>
        <w:t xml:space="preserve"> </w:t>
      </w:r>
      <w:r w:rsidR="0068685A">
        <w:rPr>
          <w:b/>
          <w:sz w:val="24"/>
        </w:rPr>
        <w:t>Fecha</w:t>
      </w:r>
      <w:r w:rsidR="0068685A">
        <w:rPr>
          <w:b/>
          <w:spacing w:val="-10"/>
          <w:sz w:val="24"/>
        </w:rPr>
        <w:t xml:space="preserve"> </w:t>
      </w:r>
      <w:r w:rsidR="0068685A">
        <w:rPr>
          <w:b/>
          <w:sz w:val="24"/>
        </w:rPr>
        <w:t>de</w:t>
      </w:r>
      <w:r w:rsidR="0068685A">
        <w:rPr>
          <w:b/>
          <w:spacing w:val="-12"/>
          <w:sz w:val="24"/>
        </w:rPr>
        <w:t xml:space="preserve"> </w:t>
      </w:r>
      <w:r w:rsidR="0068685A">
        <w:rPr>
          <w:b/>
          <w:sz w:val="24"/>
        </w:rPr>
        <w:t>elaboración:</w:t>
      </w:r>
      <w:r w:rsidR="0068685A">
        <w:rPr>
          <w:b/>
          <w:spacing w:val="-4"/>
          <w:sz w:val="24"/>
        </w:rPr>
        <w:t xml:space="preserve"> </w:t>
      </w:r>
      <w:r w:rsidR="0068685A">
        <w:rPr>
          <w:b/>
          <w:sz w:val="24"/>
        </w:rPr>
        <w:t xml:space="preserve">10 </w:t>
      </w:r>
      <w:r w:rsidR="0068685A">
        <w:rPr>
          <w:b/>
          <w:spacing w:val="-5"/>
          <w:sz w:val="24"/>
        </w:rPr>
        <w:t xml:space="preserve">de </w:t>
      </w:r>
      <w:r w:rsidR="0068685A">
        <w:rPr>
          <w:b/>
          <w:sz w:val="24"/>
        </w:rPr>
        <w:t>diciembre</w:t>
      </w:r>
      <w:r w:rsidR="0068685A">
        <w:rPr>
          <w:b/>
          <w:spacing w:val="-7"/>
          <w:sz w:val="24"/>
        </w:rPr>
        <w:t xml:space="preserve"> </w:t>
      </w:r>
      <w:r w:rsidR="0068685A">
        <w:rPr>
          <w:b/>
          <w:sz w:val="24"/>
        </w:rPr>
        <w:t>de</w:t>
      </w:r>
      <w:r w:rsidR="0068685A">
        <w:rPr>
          <w:b/>
          <w:spacing w:val="1"/>
          <w:sz w:val="24"/>
        </w:rPr>
        <w:t xml:space="preserve"> </w:t>
      </w:r>
      <w:r w:rsidR="0068685A">
        <w:rPr>
          <w:b/>
          <w:spacing w:val="-4"/>
          <w:sz w:val="24"/>
        </w:rPr>
        <w:t>2025.</w:t>
      </w:r>
    </w:p>
    <w:p w14:paraId="6690E534" w14:textId="77777777" w:rsidR="0029587D" w:rsidRDefault="0029587D" w:rsidP="0068685A">
      <w:pPr>
        <w:pStyle w:val="TableParagraph"/>
        <w:spacing w:line="262" w:lineRule="exact"/>
        <w:rPr>
          <w:b/>
          <w:spacing w:val="-4"/>
          <w:sz w:val="24"/>
        </w:rPr>
      </w:pPr>
    </w:p>
    <w:p w14:paraId="5EA70F2A" w14:textId="77777777" w:rsidR="0029587D" w:rsidRDefault="0029587D" w:rsidP="0068685A">
      <w:pPr>
        <w:pStyle w:val="TableParagraph"/>
        <w:spacing w:line="262" w:lineRule="exact"/>
        <w:rPr>
          <w:b/>
          <w:spacing w:val="-4"/>
          <w:sz w:val="24"/>
        </w:rPr>
      </w:pPr>
    </w:p>
    <w:p w14:paraId="21985F0E" w14:textId="716B0687" w:rsidR="0029587D" w:rsidRDefault="00E04959" w:rsidP="0068685A">
      <w:pPr>
        <w:pStyle w:val="TableParagraph"/>
        <w:spacing w:line="262" w:lineRule="exact"/>
        <w:rPr>
          <w:b/>
          <w:spacing w:val="-4"/>
          <w:sz w:val="24"/>
        </w:rPr>
      </w:pPr>
      <w:r>
        <w:rPr>
          <w:b/>
          <w:spacing w:val="-4"/>
          <w:sz w:val="24"/>
        </w:rPr>
        <w:t xml:space="preserve"> </w:t>
      </w:r>
      <w:r w:rsidR="0029587D">
        <w:rPr>
          <w:b/>
          <w:spacing w:val="-4"/>
          <w:sz w:val="24"/>
        </w:rPr>
        <w:t xml:space="preserve">INTRODUCCION </w:t>
      </w:r>
    </w:p>
    <w:p w14:paraId="59C73F9D" w14:textId="77777777" w:rsidR="0029587D" w:rsidRDefault="0029587D" w:rsidP="00E04959">
      <w:pPr>
        <w:pStyle w:val="TableParagraph"/>
        <w:spacing w:line="262" w:lineRule="exact"/>
        <w:jc w:val="both"/>
        <w:rPr>
          <w:b/>
          <w:spacing w:val="-4"/>
          <w:sz w:val="24"/>
        </w:rPr>
      </w:pPr>
    </w:p>
    <w:p w14:paraId="4F50CA4B" w14:textId="77777777" w:rsidR="0029587D" w:rsidRDefault="0029587D" w:rsidP="00E04959">
      <w:pPr>
        <w:pStyle w:val="TableParagraph"/>
        <w:ind w:left="115" w:right="77"/>
        <w:jc w:val="both"/>
        <w:rPr>
          <w:sz w:val="24"/>
        </w:rPr>
      </w:pPr>
      <w:r>
        <w:rPr>
          <w:sz w:val="24"/>
        </w:rPr>
        <w:t>De conformidad con las disposiciones asignadas</w:t>
      </w:r>
      <w:r>
        <w:rPr>
          <w:spacing w:val="80"/>
          <w:sz w:val="24"/>
        </w:rPr>
        <w:t xml:space="preserve"> </w:t>
      </w:r>
      <w:r>
        <w:rPr>
          <w:sz w:val="24"/>
        </w:rPr>
        <w:t xml:space="preserve">contenidas en el Decreto 2106 de 2019 “Por el cual se dictan normas para simplificar, suprimir y reformar trámites, procesos y procedimientos innecesarios existentes en la administración </w:t>
      </w:r>
      <w:r>
        <w:rPr>
          <w:spacing w:val="-2"/>
          <w:sz w:val="24"/>
        </w:rPr>
        <w:t>pública”</w:t>
      </w:r>
      <w:r>
        <w:rPr>
          <w:spacing w:val="-17"/>
          <w:sz w:val="24"/>
        </w:rPr>
        <w:t xml:space="preserve"> </w:t>
      </w:r>
      <w:r>
        <w:rPr>
          <w:spacing w:val="-2"/>
          <w:sz w:val="24"/>
        </w:rPr>
        <w:t>artículo</w:t>
      </w:r>
      <w:r>
        <w:rPr>
          <w:spacing w:val="-17"/>
          <w:sz w:val="24"/>
        </w:rPr>
        <w:t xml:space="preserve"> </w:t>
      </w:r>
      <w:r>
        <w:rPr>
          <w:spacing w:val="-2"/>
          <w:sz w:val="24"/>
        </w:rPr>
        <w:t>156</w:t>
      </w:r>
      <w:r>
        <w:rPr>
          <w:spacing w:val="-14"/>
          <w:sz w:val="24"/>
        </w:rPr>
        <w:t xml:space="preserve"> </w:t>
      </w:r>
      <w:r>
        <w:rPr>
          <w:spacing w:val="-2"/>
          <w:sz w:val="24"/>
        </w:rPr>
        <w:t>donde</w:t>
      </w:r>
      <w:r>
        <w:rPr>
          <w:spacing w:val="-6"/>
          <w:sz w:val="24"/>
        </w:rPr>
        <w:t xml:space="preserve"> </w:t>
      </w:r>
      <w:r>
        <w:rPr>
          <w:spacing w:val="-2"/>
          <w:sz w:val="24"/>
        </w:rPr>
        <w:t>señala</w:t>
      </w:r>
      <w:r>
        <w:rPr>
          <w:spacing w:val="-6"/>
          <w:sz w:val="24"/>
        </w:rPr>
        <w:t xml:space="preserve"> </w:t>
      </w:r>
      <w:r>
        <w:rPr>
          <w:spacing w:val="-2"/>
          <w:sz w:val="24"/>
        </w:rPr>
        <w:t>que “el</w:t>
      </w:r>
      <w:r>
        <w:rPr>
          <w:spacing w:val="-7"/>
          <w:sz w:val="24"/>
        </w:rPr>
        <w:t xml:space="preserve"> </w:t>
      </w:r>
      <w:r>
        <w:rPr>
          <w:spacing w:val="-2"/>
          <w:sz w:val="24"/>
        </w:rPr>
        <w:t>Jefe</w:t>
      </w:r>
      <w:r>
        <w:rPr>
          <w:spacing w:val="-16"/>
          <w:sz w:val="24"/>
        </w:rPr>
        <w:t xml:space="preserve"> </w:t>
      </w:r>
      <w:r>
        <w:rPr>
          <w:spacing w:val="-2"/>
          <w:sz w:val="24"/>
        </w:rPr>
        <w:t>de</w:t>
      </w:r>
      <w:r>
        <w:rPr>
          <w:spacing w:val="-17"/>
          <w:sz w:val="24"/>
        </w:rPr>
        <w:t xml:space="preserve"> </w:t>
      </w:r>
      <w:r>
        <w:rPr>
          <w:spacing w:val="-2"/>
          <w:sz w:val="24"/>
        </w:rPr>
        <w:t>la</w:t>
      </w:r>
      <w:r>
        <w:rPr>
          <w:spacing w:val="-17"/>
          <w:sz w:val="24"/>
        </w:rPr>
        <w:t xml:space="preserve"> </w:t>
      </w:r>
      <w:r>
        <w:rPr>
          <w:spacing w:val="-2"/>
          <w:sz w:val="24"/>
        </w:rPr>
        <w:t>Unidad</w:t>
      </w:r>
      <w:r>
        <w:rPr>
          <w:spacing w:val="-17"/>
          <w:sz w:val="24"/>
        </w:rPr>
        <w:t xml:space="preserve"> </w:t>
      </w:r>
      <w:r>
        <w:rPr>
          <w:spacing w:val="-2"/>
          <w:sz w:val="24"/>
        </w:rPr>
        <w:t>de</w:t>
      </w:r>
      <w:r>
        <w:rPr>
          <w:spacing w:val="-16"/>
          <w:sz w:val="24"/>
        </w:rPr>
        <w:t xml:space="preserve"> </w:t>
      </w:r>
      <w:r>
        <w:rPr>
          <w:spacing w:val="-2"/>
          <w:sz w:val="24"/>
        </w:rPr>
        <w:t>la</w:t>
      </w:r>
      <w:r>
        <w:rPr>
          <w:spacing w:val="-17"/>
          <w:sz w:val="24"/>
        </w:rPr>
        <w:t xml:space="preserve"> </w:t>
      </w:r>
      <w:r>
        <w:rPr>
          <w:spacing w:val="-2"/>
          <w:sz w:val="24"/>
        </w:rPr>
        <w:t>Oficina</w:t>
      </w:r>
      <w:r>
        <w:rPr>
          <w:spacing w:val="-17"/>
          <w:sz w:val="24"/>
        </w:rPr>
        <w:t xml:space="preserve"> </w:t>
      </w:r>
      <w:r>
        <w:rPr>
          <w:spacing w:val="-2"/>
          <w:sz w:val="24"/>
        </w:rPr>
        <w:t>de</w:t>
      </w:r>
      <w:r>
        <w:rPr>
          <w:spacing w:val="-17"/>
          <w:sz w:val="24"/>
        </w:rPr>
        <w:t xml:space="preserve"> </w:t>
      </w:r>
      <w:r>
        <w:rPr>
          <w:spacing w:val="-2"/>
          <w:sz w:val="24"/>
        </w:rPr>
        <w:t xml:space="preserve">Control </w:t>
      </w:r>
      <w:r>
        <w:rPr>
          <w:sz w:val="24"/>
        </w:rPr>
        <w:t>Interno</w:t>
      </w:r>
      <w:r>
        <w:rPr>
          <w:spacing w:val="-16"/>
          <w:sz w:val="24"/>
        </w:rPr>
        <w:t xml:space="preserve"> </w:t>
      </w:r>
      <w:r>
        <w:rPr>
          <w:sz w:val="24"/>
        </w:rPr>
        <w:t>o</w:t>
      </w:r>
      <w:r>
        <w:rPr>
          <w:spacing w:val="-16"/>
          <w:sz w:val="24"/>
        </w:rPr>
        <w:t xml:space="preserve"> </w:t>
      </w:r>
      <w:r>
        <w:rPr>
          <w:sz w:val="24"/>
        </w:rPr>
        <w:t>quien</w:t>
      </w:r>
      <w:r>
        <w:rPr>
          <w:spacing w:val="-19"/>
          <w:sz w:val="24"/>
        </w:rPr>
        <w:t xml:space="preserve"> </w:t>
      </w:r>
      <w:r>
        <w:rPr>
          <w:sz w:val="24"/>
        </w:rPr>
        <w:t>haga</w:t>
      </w:r>
      <w:r>
        <w:rPr>
          <w:spacing w:val="-19"/>
          <w:sz w:val="24"/>
        </w:rPr>
        <w:t xml:space="preserve"> </w:t>
      </w:r>
      <w:r>
        <w:rPr>
          <w:sz w:val="24"/>
        </w:rPr>
        <w:t>sus</w:t>
      </w:r>
      <w:r>
        <w:rPr>
          <w:spacing w:val="-16"/>
          <w:sz w:val="24"/>
        </w:rPr>
        <w:t xml:space="preserve"> </w:t>
      </w:r>
      <w:r>
        <w:rPr>
          <w:sz w:val="24"/>
        </w:rPr>
        <w:t>veces,</w:t>
      </w:r>
      <w:r>
        <w:rPr>
          <w:spacing w:val="-17"/>
          <w:sz w:val="24"/>
        </w:rPr>
        <w:t xml:space="preserve"> </w:t>
      </w:r>
      <w:r>
        <w:rPr>
          <w:sz w:val="24"/>
        </w:rPr>
        <w:t>deberá</w:t>
      </w:r>
      <w:r>
        <w:rPr>
          <w:spacing w:val="-18"/>
          <w:sz w:val="24"/>
        </w:rPr>
        <w:t xml:space="preserve"> </w:t>
      </w:r>
      <w:r>
        <w:rPr>
          <w:sz w:val="24"/>
        </w:rPr>
        <w:t>publicar</w:t>
      </w:r>
      <w:r>
        <w:rPr>
          <w:spacing w:val="-1"/>
          <w:sz w:val="24"/>
        </w:rPr>
        <w:t xml:space="preserve"> </w:t>
      </w:r>
      <w:r>
        <w:rPr>
          <w:sz w:val="24"/>
        </w:rPr>
        <w:t>cada</w:t>
      </w:r>
      <w:r>
        <w:rPr>
          <w:spacing w:val="-8"/>
          <w:sz w:val="24"/>
        </w:rPr>
        <w:t xml:space="preserve"> </w:t>
      </w:r>
      <w:r>
        <w:rPr>
          <w:sz w:val="24"/>
        </w:rPr>
        <w:t>seis</w:t>
      </w:r>
      <w:r>
        <w:rPr>
          <w:spacing w:val="-13"/>
          <w:sz w:val="24"/>
        </w:rPr>
        <w:t xml:space="preserve"> </w:t>
      </w:r>
      <w:r>
        <w:rPr>
          <w:sz w:val="24"/>
        </w:rPr>
        <w:t>6</w:t>
      </w:r>
      <w:r>
        <w:rPr>
          <w:spacing w:val="-10"/>
          <w:sz w:val="24"/>
        </w:rPr>
        <w:t xml:space="preserve"> </w:t>
      </w:r>
      <w:r>
        <w:rPr>
          <w:sz w:val="24"/>
        </w:rPr>
        <w:t>meses,</w:t>
      </w:r>
      <w:r>
        <w:rPr>
          <w:spacing w:val="-14"/>
          <w:sz w:val="24"/>
        </w:rPr>
        <w:t xml:space="preserve"> </w:t>
      </w:r>
      <w:r>
        <w:rPr>
          <w:sz w:val="24"/>
        </w:rPr>
        <w:t>en</w:t>
      </w:r>
      <w:r>
        <w:rPr>
          <w:spacing w:val="-12"/>
          <w:sz w:val="24"/>
        </w:rPr>
        <w:t xml:space="preserve"> </w:t>
      </w:r>
      <w:r>
        <w:rPr>
          <w:sz w:val="24"/>
        </w:rPr>
        <w:t>el</w:t>
      </w:r>
      <w:r>
        <w:rPr>
          <w:spacing w:val="-10"/>
          <w:sz w:val="24"/>
        </w:rPr>
        <w:t xml:space="preserve"> </w:t>
      </w:r>
      <w:r>
        <w:rPr>
          <w:sz w:val="24"/>
        </w:rPr>
        <w:t>sitio</w:t>
      </w:r>
      <w:r>
        <w:rPr>
          <w:spacing w:val="-8"/>
          <w:sz w:val="24"/>
        </w:rPr>
        <w:t xml:space="preserve"> </w:t>
      </w:r>
      <w:r>
        <w:rPr>
          <w:sz w:val="24"/>
        </w:rPr>
        <w:t>web de</w:t>
      </w:r>
      <w:r>
        <w:rPr>
          <w:spacing w:val="-2"/>
          <w:sz w:val="24"/>
        </w:rPr>
        <w:t xml:space="preserve"> </w:t>
      </w:r>
      <w:r>
        <w:rPr>
          <w:sz w:val="24"/>
        </w:rPr>
        <w:t>la</w:t>
      </w:r>
      <w:r>
        <w:rPr>
          <w:spacing w:val="-9"/>
          <w:sz w:val="24"/>
        </w:rPr>
        <w:t xml:space="preserve"> </w:t>
      </w:r>
      <w:r>
        <w:rPr>
          <w:sz w:val="24"/>
        </w:rPr>
        <w:t>entidad,</w:t>
      </w:r>
      <w:r>
        <w:rPr>
          <w:spacing w:val="-9"/>
          <w:sz w:val="24"/>
        </w:rPr>
        <w:t xml:space="preserve"> </w:t>
      </w:r>
      <w:r>
        <w:rPr>
          <w:sz w:val="24"/>
        </w:rPr>
        <w:t>un</w:t>
      </w:r>
      <w:r>
        <w:rPr>
          <w:spacing w:val="-1"/>
          <w:sz w:val="24"/>
        </w:rPr>
        <w:t xml:space="preserve"> </w:t>
      </w:r>
      <w:r>
        <w:rPr>
          <w:sz w:val="24"/>
        </w:rPr>
        <w:t>Informe</w:t>
      </w:r>
      <w:r>
        <w:rPr>
          <w:spacing w:val="-1"/>
          <w:sz w:val="24"/>
        </w:rPr>
        <w:t xml:space="preserve"> </w:t>
      </w:r>
      <w:r>
        <w:rPr>
          <w:sz w:val="24"/>
        </w:rPr>
        <w:t>de</w:t>
      </w:r>
      <w:r>
        <w:rPr>
          <w:spacing w:val="-10"/>
          <w:sz w:val="24"/>
        </w:rPr>
        <w:t xml:space="preserve"> </w:t>
      </w:r>
      <w:r>
        <w:rPr>
          <w:sz w:val="24"/>
        </w:rPr>
        <w:t>evaluación</w:t>
      </w:r>
      <w:r>
        <w:rPr>
          <w:spacing w:val="-4"/>
          <w:sz w:val="24"/>
        </w:rPr>
        <w:t xml:space="preserve"> </w:t>
      </w:r>
      <w:r>
        <w:rPr>
          <w:sz w:val="24"/>
        </w:rPr>
        <w:t>independiente del estado del Sistema de Control Interno de acuerdo con los lineamientos que imparta el Departamento Administrativo de la Función Pública”, se presenta informe de seguimiento realizado a</w:t>
      </w:r>
      <w:r>
        <w:rPr>
          <w:spacing w:val="-5"/>
          <w:sz w:val="24"/>
        </w:rPr>
        <w:t xml:space="preserve"> </w:t>
      </w:r>
      <w:r>
        <w:rPr>
          <w:sz w:val="24"/>
        </w:rPr>
        <w:t>la</w:t>
      </w:r>
      <w:r>
        <w:rPr>
          <w:spacing w:val="-1"/>
          <w:sz w:val="24"/>
        </w:rPr>
        <w:t xml:space="preserve"> </w:t>
      </w:r>
      <w:r>
        <w:rPr>
          <w:sz w:val="24"/>
        </w:rPr>
        <w:t>ESE Santiago de Tunja, correspondiente</w:t>
      </w:r>
      <w:r>
        <w:rPr>
          <w:spacing w:val="-1"/>
          <w:sz w:val="24"/>
        </w:rPr>
        <w:t xml:space="preserve"> </w:t>
      </w:r>
      <w:r>
        <w:rPr>
          <w:sz w:val="24"/>
        </w:rPr>
        <w:t>al segundo semestre</w:t>
      </w:r>
      <w:r>
        <w:rPr>
          <w:spacing w:val="-1"/>
          <w:sz w:val="24"/>
        </w:rPr>
        <w:t xml:space="preserve"> </w:t>
      </w:r>
      <w:r>
        <w:rPr>
          <w:sz w:val="24"/>
        </w:rPr>
        <w:t>de la vigencia 2023.</w:t>
      </w:r>
    </w:p>
    <w:p w14:paraId="597FC71D" w14:textId="77777777" w:rsidR="00E04959" w:rsidRDefault="0029587D" w:rsidP="00E04959">
      <w:pPr>
        <w:pStyle w:val="TableParagraph"/>
        <w:spacing w:before="248"/>
        <w:ind w:left="151" w:right="84" w:firstLine="11"/>
        <w:jc w:val="both"/>
        <w:rPr>
          <w:sz w:val="24"/>
        </w:rPr>
      </w:pPr>
      <w:r>
        <w:rPr>
          <w:sz w:val="24"/>
        </w:rPr>
        <w:t>De acuerdo con la expedición del Decreto 1499 de 2017 “Por medio del cual se modifica el Decreto 1083 de 2015, Decreto Único Reglamentario del Sector Función Pública, en lo relacionado con el Sistema de Gestión establecido en el artículo 133 de la Ley 1753 de 2015”, se crea un solo Sistema de Gestión y se alinea con el Sistema de Control Interno, hoy todas las entidades públicas requieren</w:t>
      </w:r>
      <w:r>
        <w:rPr>
          <w:spacing w:val="-19"/>
          <w:sz w:val="24"/>
        </w:rPr>
        <w:t xml:space="preserve"> </w:t>
      </w:r>
      <w:r>
        <w:rPr>
          <w:sz w:val="24"/>
        </w:rPr>
        <w:t>actualizar</w:t>
      </w:r>
      <w:r>
        <w:rPr>
          <w:spacing w:val="-17"/>
          <w:sz w:val="24"/>
        </w:rPr>
        <w:t xml:space="preserve"> </w:t>
      </w:r>
      <w:r>
        <w:rPr>
          <w:sz w:val="24"/>
        </w:rPr>
        <w:t>y/o</w:t>
      </w:r>
      <w:r>
        <w:rPr>
          <w:spacing w:val="-16"/>
          <w:sz w:val="24"/>
        </w:rPr>
        <w:t xml:space="preserve"> </w:t>
      </w:r>
      <w:r>
        <w:rPr>
          <w:sz w:val="24"/>
        </w:rPr>
        <w:t>implementar</w:t>
      </w:r>
      <w:r>
        <w:rPr>
          <w:spacing w:val="-19"/>
          <w:sz w:val="24"/>
        </w:rPr>
        <w:t xml:space="preserve"> </w:t>
      </w:r>
      <w:r>
        <w:rPr>
          <w:sz w:val="24"/>
        </w:rPr>
        <w:t>el</w:t>
      </w:r>
      <w:r>
        <w:rPr>
          <w:spacing w:val="-16"/>
          <w:sz w:val="24"/>
        </w:rPr>
        <w:t xml:space="preserve"> </w:t>
      </w:r>
      <w:r>
        <w:rPr>
          <w:sz w:val="24"/>
        </w:rPr>
        <w:t>Modelo</w:t>
      </w:r>
      <w:r>
        <w:rPr>
          <w:spacing w:val="-16"/>
          <w:sz w:val="24"/>
        </w:rPr>
        <w:t xml:space="preserve"> </w:t>
      </w:r>
      <w:r>
        <w:rPr>
          <w:sz w:val="24"/>
        </w:rPr>
        <w:t>Integrado</w:t>
      </w:r>
      <w:r>
        <w:rPr>
          <w:spacing w:val="-16"/>
          <w:sz w:val="24"/>
        </w:rPr>
        <w:t xml:space="preserve"> </w:t>
      </w:r>
      <w:r>
        <w:rPr>
          <w:sz w:val="24"/>
        </w:rPr>
        <w:t>de</w:t>
      </w:r>
      <w:r>
        <w:rPr>
          <w:spacing w:val="-16"/>
          <w:sz w:val="24"/>
        </w:rPr>
        <w:t xml:space="preserve"> </w:t>
      </w:r>
      <w:r>
        <w:rPr>
          <w:sz w:val="24"/>
        </w:rPr>
        <w:t>Planeación</w:t>
      </w:r>
      <w:r>
        <w:rPr>
          <w:spacing w:val="-18"/>
          <w:sz w:val="24"/>
        </w:rPr>
        <w:t xml:space="preserve"> </w:t>
      </w:r>
      <w:r>
        <w:rPr>
          <w:sz w:val="24"/>
        </w:rPr>
        <w:t>y</w:t>
      </w:r>
      <w:r>
        <w:rPr>
          <w:spacing w:val="-13"/>
          <w:sz w:val="24"/>
        </w:rPr>
        <w:t xml:space="preserve"> </w:t>
      </w:r>
      <w:r>
        <w:rPr>
          <w:sz w:val="24"/>
        </w:rPr>
        <w:t>Gestión MIPG,</w:t>
      </w:r>
      <w:r>
        <w:rPr>
          <w:spacing w:val="-11"/>
          <w:sz w:val="24"/>
        </w:rPr>
        <w:t xml:space="preserve"> </w:t>
      </w:r>
      <w:r>
        <w:rPr>
          <w:sz w:val="24"/>
        </w:rPr>
        <w:t>modelo</w:t>
      </w:r>
      <w:r>
        <w:rPr>
          <w:spacing w:val="-9"/>
          <w:sz w:val="24"/>
        </w:rPr>
        <w:t xml:space="preserve"> </w:t>
      </w:r>
      <w:r>
        <w:rPr>
          <w:sz w:val="24"/>
        </w:rPr>
        <w:t>que</w:t>
      </w:r>
      <w:r>
        <w:rPr>
          <w:spacing w:val="-13"/>
          <w:sz w:val="24"/>
        </w:rPr>
        <w:t xml:space="preserve"> </w:t>
      </w:r>
      <w:r>
        <w:rPr>
          <w:sz w:val="24"/>
        </w:rPr>
        <w:t>incorpora</w:t>
      </w:r>
      <w:r>
        <w:rPr>
          <w:spacing w:val="-17"/>
          <w:sz w:val="24"/>
        </w:rPr>
        <w:t xml:space="preserve"> </w:t>
      </w:r>
      <w:r>
        <w:rPr>
          <w:sz w:val="24"/>
        </w:rPr>
        <w:t>el</w:t>
      </w:r>
      <w:r>
        <w:rPr>
          <w:spacing w:val="-13"/>
          <w:sz w:val="24"/>
        </w:rPr>
        <w:t xml:space="preserve"> </w:t>
      </w:r>
      <w:r>
        <w:rPr>
          <w:sz w:val="24"/>
        </w:rPr>
        <w:t>Modelo</w:t>
      </w:r>
      <w:r>
        <w:rPr>
          <w:spacing w:val="-13"/>
          <w:sz w:val="24"/>
        </w:rPr>
        <w:t xml:space="preserve"> </w:t>
      </w:r>
      <w:r>
        <w:rPr>
          <w:sz w:val="24"/>
        </w:rPr>
        <w:t>Estándar</w:t>
      </w:r>
      <w:r>
        <w:rPr>
          <w:spacing w:val="-9"/>
          <w:sz w:val="24"/>
        </w:rPr>
        <w:t xml:space="preserve"> </w:t>
      </w:r>
      <w:r>
        <w:rPr>
          <w:sz w:val="24"/>
        </w:rPr>
        <w:t>de</w:t>
      </w:r>
      <w:r>
        <w:rPr>
          <w:spacing w:val="-14"/>
          <w:sz w:val="24"/>
        </w:rPr>
        <w:t xml:space="preserve"> </w:t>
      </w:r>
      <w:r>
        <w:rPr>
          <w:sz w:val="24"/>
        </w:rPr>
        <w:t>Control</w:t>
      </w:r>
      <w:r>
        <w:rPr>
          <w:spacing w:val="-13"/>
          <w:sz w:val="24"/>
        </w:rPr>
        <w:t xml:space="preserve"> </w:t>
      </w:r>
      <w:r>
        <w:rPr>
          <w:sz w:val="24"/>
        </w:rPr>
        <w:t>Interno</w:t>
      </w:r>
      <w:r>
        <w:rPr>
          <w:spacing w:val="-13"/>
          <w:sz w:val="24"/>
        </w:rPr>
        <w:t xml:space="preserve"> </w:t>
      </w:r>
      <w:r>
        <w:rPr>
          <w:sz w:val="24"/>
        </w:rPr>
        <w:t>MECI</w:t>
      </w:r>
      <w:r>
        <w:rPr>
          <w:spacing w:val="-12"/>
          <w:sz w:val="24"/>
        </w:rPr>
        <w:t xml:space="preserve"> </w:t>
      </w:r>
      <w:r>
        <w:rPr>
          <w:sz w:val="24"/>
        </w:rPr>
        <w:t>a</w:t>
      </w:r>
      <w:r>
        <w:rPr>
          <w:spacing w:val="-12"/>
          <w:sz w:val="24"/>
        </w:rPr>
        <w:t xml:space="preserve"> </w:t>
      </w:r>
      <w:r>
        <w:rPr>
          <w:sz w:val="24"/>
        </w:rPr>
        <w:t>través de la 7a dimensión del mismo.</w:t>
      </w:r>
    </w:p>
    <w:p w14:paraId="79085278" w14:textId="326B76D1" w:rsidR="0029587D" w:rsidRDefault="0029587D" w:rsidP="00E04959">
      <w:pPr>
        <w:pStyle w:val="TableParagraph"/>
        <w:spacing w:before="248"/>
        <w:ind w:left="151" w:right="84" w:firstLine="11"/>
        <w:jc w:val="both"/>
        <w:rPr>
          <w:sz w:val="24"/>
        </w:rPr>
      </w:pPr>
      <w:r>
        <w:rPr>
          <w:sz w:val="24"/>
        </w:rPr>
        <w:t>La</w:t>
      </w:r>
      <w:r w:rsidRPr="00E04959">
        <w:rPr>
          <w:sz w:val="24"/>
        </w:rPr>
        <w:t xml:space="preserve"> </w:t>
      </w:r>
      <w:r>
        <w:rPr>
          <w:sz w:val="24"/>
        </w:rPr>
        <w:t>estructura</w:t>
      </w:r>
      <w:r w:rsidRPr="00E04959">
        <w:rPr>
          <w:sz w:val="24"/>
        </w:rPr>
        <w:t xml:space="preserve"> </w:t>
      </w:r>
      <w:r>
        <w:rPr>
          <w:sz w:val="24"/>
        </w:rPr>
        <w:t>requiere</w:t>
      </w:r>
      <w:r w:rsidRPr="00E04959">
        <w:rPr>
          <w:sz w:val="24"/>
        </w:rPr>
        <w:t xml:space="preserve"> </w:t>
      </w:r>
      <w:r>
        <w:rPr>
          <w:sz w:val="24"/>
        </w:rPr>
        <w:t>de</w:t>
      </w:r>
      <w:r w:rsidRPr="00E04959">
        <w:rPr>
          <w:sz w:val="24"/>
        </w:rPr>
        <w:t xml:space="preserve"> </w:t>
      </w:r>
      <w:r>
        <w:rPr>
          <w:sz w:val="24"/>
        </w:rPr>
        <w:t>un</w:t>
      </w:r>
      <w:r w:rsidRPr="00E04959">
        <w:rPr>
          <w:sz w:val="24"/>
        </w:rPr>
        <w:t xml:space="preserve"> </w:t>
      </w:r>
      <w:r>
        <w:rPr>
          <w:sz w:val="24"/>
        </w:rPr>
        <w:t>análisis</w:t>
      </w:r>
      <w:r w:rsidRPr="00E04959">
        <w:rPr>
          <w:sz w:val="24"/>
        </w:rPr>
        <w:t xml:space="preserve"> </w:t>
      </w:r>
      <w:r>
        <w:rPr>
          <w:sz w:val="24"/>
        </w:rPr>
        <w:t>articulado</w:t>
      </w:r>
      <w:r w:rsidRPr="00E04959">
        <w:rPr>
          <w:sz w:val="24"/>
        </w:rPr>
        <w:t xml:space="preserve"> </w:t>
      </w:r>
      <w:r>
        <w:rPr>
          <w:sz w:val="24"/>
        </w:rPr>
        <w:t>frente</w:t>
      </w:r>
      <w:r w:rsidRPr="00E04959">
        <w:rPr>
          <w:sz w:val="24"/>
        </w:rPr>
        <w:t xml:space="preserve"> </w:t>
      </w:r>
      <w:r>
        <w:rPr>
          <w:sz w:val="24"/>
        </w:rPr>
        <w:t>al</w:t>
      </w:r>
      <w:r w:rsidRPr="00E04959">
        <w:rPr>
          <w:sz w:val="24"/>
        </w:rPr>
        <w:t xml:space="preserve"> </w:t>
      </w:r>
      <w:r>
        <w:rPr>
          <w:sz w:val="24"/>
        </w:rPr>
        <w:t>desarrollo</w:t>
      </w:r>
      <w:r w:rsidRPr="00E04959">
        <w:rPr>
          <w:sz w:val="24"/>
        </w:rPr>
        <w:t xml:space="preserve"> </w:t>
      </w:r>
      <w:r>
        <w:rPr>
          <w:sz w:val="24"/>
        </w:rPr>
        <w:t>de</w:t>
      </w:r>
      <w:r w:rsidRPr="00E04959">
        <w:rPr>
          <w:sz w:val="24"/>
        </w:rPr>
        <w:t xml:space="preserve"> </w:t>
      </w:r>
      <w:r>
        <w:rPr>
          <w:sz w:val="24"/>
        </w:rPr>
        <w:t>las</w:t>
      </w:r>
      <w:r w:rsidRPr="00E04959">
        <w:rPr>
          <w:sz w:val="24"/>
        </w:rPr>
        <w:t xml:space="preserve"> </w:t>
      </w:r>
      <w:r>
        <w:rPr>
          <w:sz w:val="24"/>
        </w:rPr>
        <w:t xml:space="preserve">políticas </w:t>
      </w:r>
      <w:r w:rsidR="00E04959">
        <w:rPr>
          <w:sz w:val="24"/>
        </w:rPr>
        <w:t xml:space="preserve">    </w:t>
      </w:r>
      <w:r>
        <w:rPr>
          <w:sz w:val="24"/>
        </w:rPr>
        <w:t>de</w:t>
      </w:r>
      <w:r w:rsidRPr="00E04959">
        <w:rPr>
          <w:sz w:val="24"/>
        </w:rPr>
        <w:t xml:space="preserve"> </w:t>
      </w:r>
      <w:r>
        <w:rPr>
          <w:sz w:val="24"/>
        </w:rPr>
        <w:t>Gestión</w:t>
      </w:r>
      <w:r w:rsidRPr="00E04959">
        <w:rPr>
          <w:sz w:val="24"/>
        </w:rPr>
        <w:t xml:space="preserve"> </w:t>
      </w:r>
      <w:r>
        <w:rPr>
          <w:sz w:val="24"/>
        </w:rPr>
        <w:t>y</w:t>
      </w:r>
      <w:r w:rsidRPr="00E04959">
        <w:rPr>
          <w:sz w:val="24"/>
        </w:rPr>
        <w:t xml:space="preserve"> </w:t>
      </w:r>
      <w:r>
        <w:rPr>
          <w:sz w:val="24"/>
        </w:rPr>
        <w:t>Desempeño</w:t>
      </w:r>
      <w:r w:rsidRPr="00E04959">
        <w:rPr>
          <w:sz w:val="24"/>
        </w:rPr>
        <w:t xml:space="preserve"> </w:t>
      </w:r>
      <w:r>
        <w:rPr>
          <w:sz w:val="24"/>
        </w:rPr>
        <w:t>contenidas</w:t>
      </w:r>
      <w:r w:rsidRPr="00E04959">
        <w:rPr>
          <w:sz w:val="24"/>
        </w:rPr>
        <w:t xml:space="preserve"> </w:t>
      </w:r>
      <w:r>
        <w:rPr>
          <w:sz w:val="24"/>
        </w:rPr>
        <w:t>en</w:t>
      </w:r>
      <w:r w:rsidRPr="00E04959">
        <w:rPr>
          <w:sz w:val="24"/>
        </w:rPr>
        <w:t xml:space="preserve"> </w:t>
      </w:r>
      <w:r>
        <w:rPr>
          <w:sz w:val="24"/>
        </w:rPr>
        <w:t>el</w:t>
      </w:r>
      <w:r w:rsidRPr="00E04959">
        <w:rPr>
          <w:sz w:val="24"/>
        </w:rPr>
        <w:t xml:space="preserve"> </w:t>
      </w:r>
      <w:r>
        <w:rPr>
          <w:sz w:val="24"/>
        </w:rPr>
        <w:t>modelo</w:t>
      </w:r>
      <w:r w:rsidRPr="00E04959">
        <w:rPr>
          <w:sz w:val="24"/>
        </w:rPr>
        <w:t xml:space="preserve"> </w:t>
      </w:r>
      <w:r>
        <w:rPr>
          <w:sz w:val="24"/>
        </w:rPr>
        <w:t>y</w:t>
      </w:r>
      <w:r w:rsidRPr="00E04959">
        <w:rPr>
          <w:sz w:val="24"/>
        </w:rPr>
        <w:t xml:space="preserve"> </w:t>
      </w:r>
      <w:r>
        <w:rPr>
          <w:sz w:val="24"/>
        </w:rPr>
        <w:t>su</w:t>
      </w:r>
      <w:r w:rsidRPr="00E04959">
        <w:rPr>
          <w:sz w:val="24"/>
        </w:rPr>
        <w:t xml:space="preserve"> </w:t>
      </w:r>
      <w:r>
        <w:rPr>
          <w:sz w:val="24"/>
        </w:rPr>
        <w:t>efectividad</w:t>
      </w:r>
      <w:r w:rsidRPr="00E04959">
        <w:rPr>
          <w:sz w:val="24"/>
        </w:rPr>
        <w:t xml:space="preserve"> </w:t>
      </w:r>
      <w:r>
        <w:rPr>
          <w:sz w:val="24"/>
        </w:rPr>
        <w:t>en</w:t>
      </w:r>
      <w:r w:rsidRPr="00E04959">
        <w:rPr>
          <w:sz w:val="24"/>
        </w:rPr>
        <w:t xml:space="preserve"> </w:t>
      </w:r>
      <w:r>
        <w:rPr>
          <w:sz w:val="24"/>
        </w:rPr>
        <w:t>relación</w:t>
      </w:r>
      <w:r w:rsidRPr="00E04959">
        <w:rPr>
          <w:sz w:val="24"/>
        </w:rPr>
        <w:t xml:space="preserve"> </w:t>
      </w:r>
      <w:r>
        <w:rPr>
          <w:sz w:val="24"/>
        </w:rPr>
        <w:t>con la estructura de control, este último, aspecto esencial para garantizar el buen manejo</w:t>
      </w:r>
      <w:r w:rsidRPr="00E04959">
        <w:rPr>
          <w:sz w:val="24"/>
        </w:rPr>
        <w:t xml:space="preserve"> </w:t>
      </w:r>
      <w:r>
        <w:rPr>
          <w:sz w:val="24"/>
        </w:rPr>
        <w:t>de</w:t>
      </w:r>
      <w:r w:rsidRPr="00E04959">
        <w:rPr>
          <w:sz w:val="24"/>
        </w:rPr>
        <w:t xml:space="preserve"> </w:t>
      </w:r>
      <w:r>
        <w:rPr>
          <w:sz w:val="24"/>
        </w:rPr>
        <w:t>los</w:t>
      </w:r>
      <w:r w:rsidRPr="00E04959">
        <w:rPr>
          <w:sz w:val="24"/>
        </w:rPr>
        <w:t xml:space="preserve"> </w:t>
      </w:r>
      <w:r>
        <w:rPr>
          <w:sz w:val="24"/>
        </w:rPr>
        <w:t>recursos,</w:t>
      </w:r>
      <w:r w:rsidRPr="00E04959">
        <w:rPr>
          <w:sz w:val="24"/>
        </w:rPr>
        <w:t xml:space="preserve"> </w:t>
      </w:r>
      <w:r>
        <w:rPr>
          <w:sz w:val="24"/>
        </w:rPr>
        <w:t>que</w:t>
      </w:r>
      <w:r w:rsidRPr="00E04959">
        <w:rPr>
          <w:sz w:val="24"/>
        </w:rPr>
        <w:t xml:space="preserve"> </w:t>
      </w:r>
      <w:r>
        <w:rPr>
          <w:sz w:val="24"/>
        </w:rPr>
        <w:t>las</w:t>
      </w:r>
      <w:r w:rsidRPr="00E04959">
        <w:rPr>
          <w:sz w:val="24"/>
        </w:rPr>
        <w:t xml:space="preserve"> </w:t>
      </w:r>
      <w:r>
        <w:rPr>
          <w:sz w:val="24"/>
        </w:rPr>
        <w:t>metas</w:t>
      </w:r>
      <w:r w:rsidRPr="00E04959">
        <w:rPr>
          <w:sz w:val="24"/>
        </w:rPr>
        <w:t xml:space="preserve"> </w:t>
      </w:r>
      <w:r>
        <w:rPr>
          <w:sz w:val="24"/>
        </w:rPr>
        <w:t>y</w:t>
      </w:r>
      <w:r w:rsidRPr="00E04959">
        <w:rPr>
          <w:sz w:val="24"/>
        </w:rPr>
        <w:t xml:space="preserve"> </w:t>
      </w:r>
      <w:r>
        <w:rPr>
          <w:sz w:val="24"/>
        </w:rPr>
        <w:t>objetivos</w:t>
      </w:r>
      <w:r w:rsidRPr="00E04959">
        <w:rPr>
          <w:sz w:val="24"/>
        </w:rPr>
        <w:t xml:space="preserve"> </w:t>
      </w:r>
      <w:r>
        <w:rPr>
          <w:sz w:val="24"/>
        </w:rPr>
        <w:t>se</w:t>
      </w:r>
      <w:r w:rsidRPr="00E04959">
        <w:rPr>
          <w:sz w:val="24"/>
        </w:rPr>
        <w:t xml:space="preserve"> </w:t>
      </w:r>
      <w:r>
        <w:rPr>
          <w:sz w:val="24"/>
        </w:rPr>
        <w:t>cumplan</w:t>
      </w:r>
      <w:r w:rsidRPr="00E04959">
        <w:rPr>
          <w:sz w:val="24"/>
        </w:rPr>
        <w:t xml:space="preserve"> </w:t>
      </w:r>
      <w:r>
        <w:rPr>
          <w:sz w:val="24"/>
        </w:rPr>
        <w:t>y</w:t>
      </w:r>
      <w:r w:rsidRPr="00E04959">
        <w:rPr>
          <w:sz w:val="24"/>
        </w:rPr>
        <w:t xml:space="preserve"> </w:t>
      </w:r>
      <w:r>
        <w:rPr>
          <w:sz w:val="24"/>
        </w:rPr>
        <w:t>se</w:t>
      </w:r>
      <w:r w:rsidRPr="00E04959">
        <w:rPr>
          <w:sz w:val="24"/>
        </w:rPr>
        <w:t xml:space="preserve"> </w:t>
      </w:r>
      <w:r>
        <w:rPr>
          <w:sz w:val="24"/>
        </w:rPr>
        <w:t>mejore</w:t>
      </w:r>
      <w:r w:rsidRPr="00E04959">
        <w:rPr>
          <w:sz w:val="24"/>
        </w:rPr>
        <w:t xml:space="preserve"> la </w:t>
      </w:r>
      <w:r>
        <w:rPr>
          <w:sz w:val="24"/>
        </w:rPr>
        <w:t xml:space="preserve">prestación del servicio a los usuarios, ejes fundamentales para la generación de </w:t>
      </w:r>
      <w:proofErr w:type="spellStart"/>
      <w:r>
        <w:rPr>
          <w:sz w:val="24"/>
        </w:rPr>
        <w:t>de</w:t>
      </w:r>
      <w:proofErr w:type="spellEnd"/>
      <w:r>
        <w:rPr>
          <w:sz w:val="24"/>
        </w:rPr>
        <w:t xml:space="preserve"> valor público en la E.S.E. Santiago de Tunja.</w:t>
      </w:r>
    </w:p>
    <w:p w14:paraId="73E2E28B" w14:textId="77777777" w:rsidR="0084461C" w:rsidRDefault="0084461C" w:rsidP="00E04959">
      <w:pPr>
        <w:pStyle w:val="TableParagraph"/>
        <w:spacing w:before="248"/>
        <w:ind w:left="151" w:right="84" w:firstLine="11"/>
        <w:jc w:val="both"/>
        <w:rPr>
          <w:sz w:val="24"/>
        </w:rPr>
      </w:pPr>
    </w:p>
    <w:p w14:paraId="14DC1DC0" w14:textId="1A2636D7" w:rsidR="0084461C" w:rsidRDefault="0084461C" w:rsidP="00E04959">
      <w:pPr>
        <w:pStyle w:val="TableParagraph"/>
        <w:spacing w:before="248"/>
        <w:ind w:left="151" w:right="84" w:firstLine="11"/>
        <w:jc w:val="both"/>
        <w:rPr>
          <w:b/>
          <w:spacing w:val="-2"/>
          <w:sz w:val="24"/>
        </w:rPr>
      </w:pPr>
      <w:r>
        <w:rPr>
          <w:b/>
          <w:spacing w:val="-2"/>
          <w:sz w:val="24"/>
        </w:rPr>
        <w:lastRenderedPageBreak/>
        <w:t>OBJETIVO</w:t>
      </w:r>
    </w:p>
    <w:p w14:paraId="19F2AB5C" w14:textId="3472CA9A" w:rsidR="0084461C" w:rsidRDefault="0084461C" w:rsidP="00E04959">
      <w:pPr>
        <w:pStyle w:val="TableParagraph"/>
        <w:spacing w:before="248"/>
        <w:ind w:left="151" w:right="84" w:firstLine="11"/>
        <w:jc w:val="both"/>
        <w:rPr>
          <w:sz w:val="24"/>
        </w:rPr>
      </w:pPr>
      <w:r>
        <w:rPr>
          <w:spacing w:val="-2"/>
          <w:sz w:val="24"/>
        </w:rPr>
        <w:t>Evaluar</w:t>
      </w:r>
      <w:r>
        <w:rPr>
          <w:spacing w:val="-9"/>
          <w:sz w:val="24"/>
        </w:rPr>
        <w:t xml:space="preserve"> </w:t>
      </w:r>
      <w:r>
        <w:rPr>
          <w:spacing w:val="-2"/>
          <w:sz w:val="24"/>
        </w:rPr>
        <w:t>la</w:t>
      </w:r>
      <w:r>
        <w:rPr>
          <w:spacing w:val="-13"/>
          <w:sz w:val="24"/>
        </w:rPr>
        <w:t xml:space="preserve"> </w:t>
      </w:r>
      <w:r>
        <w:rPr>
          <w:spacing w:val="-2"/>
          <w:sz w:val="24"/>
        </w:rPr>
        <w:t>efectividad</w:t>
      </w:r>
      <w:r>
        <w:rPr>
          <w:spacing w:val="-12"/>
          <w:sz w:val="24"/>
        </w:rPr>
        <w:t xml:space="preserve"> </w:t>
      </w:r>
      <w:r>
        <w:rPr>
          <w:spacing w:val="-2"/>
          <w:sz w:val="24"/>
        </w:rPr>
        <w:t>del</w:t>
      </w:r>
      <w:r>
        <w:rPr>
          <w:spacing w:val="-10"/>
          <w:sz w:val="24"/>
        </w:rPr>
        <w:t xml:space="preserve"> </w:t>
      </w:r>
      <w:r>
        <w:rPr>
          <w:spacing w:val="-2"/>
          <w:sz w:val="24"/>
        </w:rPr>
        <w:t>Sistema</w:t>
      </w:r>
      <w:r>
        <w:rPr>
          <w:spacing w:val="-13"/>
          <w:sz w:val="24"/>
        </w:rPr>
        <w:t xml:space="preserve"> </w:t>
      </w:r>
      <w:r>
        <w:rPr>
          <w:spacing w:val="-2"/>
          <w:sz w:val="24"/>
        </w:rPr>
        <w:t>de</w:t>
      </w:r>
      <w:r>
        <w:rPr>
          <w:spacing w:val="-10"/>
          <w:sz w:val="24"/>
        </w:rPr>
        <w:t xml:space="preserve"> </w:t>
      </w:r>
      <w:r>
        <w:rPr>
          <w:spacing w:val="-2"/>
          <w:sz w:val="24"/>
        </w:rPr>
        <w:t>Control</w:t>
      </w:r>
      <w:r>
        <w:rPr>
          <w:spacing w:val="-10"/>
          <w:sz w:val="24"/>
        </w:rPr>
        <w:t xml:space="preserve"> </w:t>
      </w:r>
      <w:r>
        <w:rPr>
          <w:spacing w:val="-2"/>
          <w:sz w:val="24"/>
        </w:rPr>
        <w:t>Interno</w:t>
      </w:r>
      <w:r>
        <w:rPr>
          <w:spacing w:val="-9"/>
          <w:sz w:val="24"/>
        </w:rPr>
        <w:t xml:space="preserve"> </w:t>
      </w:r>
      <w:r>
        <w:rPr>
          <w:spacing w:val="-2"/>
          <w:sz w:val="24"/>
        </w:rPr>
        <w:t>de</w:t>
      </w:r>
      <w:r>
        <w:rPr>
          <w:spacing w:val="-10"/>
          <w:sz w:val="24"/>
        </w:rPr>
        <w:t xml:space="preserve"> </w:t>
      </w:r>
      <w:r>
        <w:rPr>
          <w:spacing w:val="-2"/>
          <w:sz w:val="24"/>
        </w:rPr>
        <w:t>la</w:t>
      </w:r>
      <w:r>
        <w:rPr>
          <w:spacing w:val="-13"/>
          <w:sz w:val="24"/>
        </w:rPr>
        <w:t xml:space="preserve"> </w:t>
      </w:r>
      <w:r>
        <w:rPr>
          <w:spacing w:val="-2"/>
          <w:sz w:val="24"/>
        </w:rPr>
        <w:t>ESE,</w:t>
      </w:r>
      <w:r>
        <w:rPr>
          <w:spacing w:val="-12"/>
          <w:sz w:val="24"/>
        </w:rPr>
        <w:t xml:space="preserve"> </w:t>
      </w:r>
      <w:r>
        <w:rPr>
          <w:spacing w:val="-2"/>
          <w:sz w:val="24"/>
        </w:rPr>
        <w:t>objetiva</w:t>
      </w:r>
      <w:r>
        <w:rPr>
          <w:spacing w:val="-13"/>
          <w:sz w:val="24"/>
        </w:rPr>
        <w:t xml:space="preserve"> </w:t>
      </w:r>
      <w:r>
        <w:rPr>
          <w:spacing w:val="-2"/>
          <w:sz w:val="24"/>
        </w:rPr>
        <w:t>y</w:t>
      </w:r>
      <w:r>
        <w:rPr>
          <w:spacing w:val="-10"/>
          <w:sz w:val="24"/>
        </w:rPr>
        <w:t xml:space="preserve"> </w:t>
      </w:r>
      <w:r>
        <w:rPr>
          <w:spacing w:val="-2"/>
          <w:sz w:val="24"/>
        </w:rPr>
        <w:t xml:space="preserve">oportuna </w:t>
      </w:r>
      <w:r>
        <w:rPr>
          <w:sz w:val="24"/>
        </w:rPr>
        <w:t>a</w:t>
      </w:r>
      <w:r>
        <w:rPr>
          <w:spacing w:val="-18"/>
          <w:sz w:val="24"/>
        </w:rPr>
        <w:t xml:space="preserve"> </w:t>
      </w:r>
      <w:r>
        <w:rPr>
          <w:sz w:val="24"/>
        </w:rPr>
        <w:t>través</w:t>
      </w:r>
      <w:r>
        <w:rPr>
          <w:spacing w:val="-16"/>
          <w:sz w:val="24"/>
        </w:rPr>
        <w:t xml:space="preserve"> </w:t>
      </w:r>
      <w:r>
        <w:rPr>
          <w:sz w:val="24"/>
        </w:rPr>
        <w:t>de</w:t>
      </w:r>
      <w:r>
        <w:rPr>
          <w:spacing w:val="-16"/>
          <w:sz w:val="24"/>
        </w:rPr>
        <w:t xml:space="preserve"> </w:t>
      </w:r>
      <w:r>
        <w:rPr>
          <w:sz w:val="24"/>
        </w:rPr>
        <w:t>seguimiento</w:t>
      </w:r>
      <w:r>
        <w:rPr>
          <w:spacing w:val="-15"/>
          <w:sz w:val="24"/>
        </w:rPr>
        <w:t xml:space="preserve"> </w:t>
      </w:r>
      <w:r>
        <w:rPr>
          <w:sz w:val="24"/>
        </w:rPr>
        <w:t>y</w:t>
      </w:r>
      <w:r>
        <w:rPr>
          <w:spacing w:val="-16"/>
          <w:sz w:val="24"/>
        </w:rPr>
        <w:t xml:space="preserve"> </w:t>
      </w:r>
      <w:r>
        <w:rPr>
          <w:sz w:val="24"/>
        </w:rPr>
        <w:t>auditorias</w:t>
      </w:r>
      <w:r>
        <w:rPr>
          <w:spacing w:val="-16"/>
          <w:sz w:val="24"/>
        </w:rPr>
        <w:t xml:space="preserve"> </w:t>
      </w:r>
      <w:r>
        <w:rPr>
          <w:sz w:val="24"/>
        </w:rPr>
        <w:t>que</w:t>
      </w:r>
      <w:r>
        <w:rPr>
          <w:spacing w:val="-15"/>
          <w:sz w:val="24"/>
        </w:rPr>
        <w:t xml:space="preserve"> </w:t>
      </w:r>
      <w:r>
        <w:rPr>
          <w:sz w:val="24"/>
        </w:rPr>
        <w:t>permitan</w:t>
      </w:r>
      <w:r>
        <w:rPr>
          <w:spacing w:val="-18"/>
          <w:sz w:val="24"/>
        </w:rPr>
        <w:t xml:space="preserve"> </w:t>
      </w:r>
      <w:r>
        <w:rPr>
          <w:sz w:val="24"/>
        </w:rPr>
        <w:t>generar</w:t>
      </w:r>
      <w:r>
        <w:rPr>
          <w:spacing w:val="-15"/>
          <w:sz w:val="24"/>
        </w:rPr>
        <w:t xml:space="preserve"> </w:t>
      </w:r>
      <w:r>
        <w:rPr>
          <w:sz w:val="24"/>
        </w:rPr>
        <w:t>alertas</w:t>
      </w:r>
      <w:r>
        <w:rPr>
          <w:spacing w:val="-16"/>
          <w:sz w:val="24"/>
        </w:rPr>
        <w:t xml:space="preserve"> </w:t>
      </w:r>
      <w:r>
        <w:rPr>
          <w:sz w:val="24"/>
        </w:rPr>
        <w:t>tempranas</w:t>
      </w:r>
      <w:r>
        <w:rPr>
          <w:spacing w:val="-16"/>
          <w:sz w:val="24"/>
        </w:rPr>
        <w:t xml:space="preserve"> </w:t>
      </w:r>
      <w:r>
        <w:rPr>
          <w:sz w:val="24"/>
        </w:rPr>
        <w:t xml:space="preserve">para contribuir con el mejoramiento continuo en la gestión </w:t>
      </w:r>
      <w:proofErr w:type="gramStart"/>
      <w:r>
        <w:rPr>
          <w:sz w:val="24"/>
        </w:rPr>
        <w:t>institucional</w:t>
      </w:r>
      <w:proofErr w:type="gramEnd"/>
      <w:r>
        <w:rPr>
          <w:sz w:val="24"/>
        </w:rPr>
        <w:t xml:space="preserve"> así como realizar un</w:t>
      </w:r>
      <w:r>
        <w:rPr>
          <w:spacing w:val="-2"/>
          <w:sz w:val="24"/>
        </w:rPr>
        <w:t xml:space="preserve"> </w:t>
      </w:r>
      <w:r>
        <w:rPr>
          <w:sz w:val="24"/>
        </w:rPr>
        <w:t>análisis articulado de las políticas de gestión</w:t>
      </w:r>
      <w:r>
        <w:rPr>
          <w:spacing w:val="-2"/>
          <w:sz w:val="24"/>
        </w:rPr>
        <w:t xml:space="preserve"> </w:t>
      </w:r>
      <w:r>
        <w:rPr>
          <w:sz w:val="24"/>
        </w:rPr>
        <w:t>y desempeño contenidas en el modelo y su efectividad en relación con la estructura de control.</w:t>
      </w:r>
    </w:p>
    <w:p w14:paraId="1D800BB0" w14:textId="590A157C" w:rsidR="0084461C" w:rsidRDefault="0084461C" w:rsidP="00E04959">
      <w:pPr>
        <w:pStyle w:val="TableParagraph"/>
        <w:spacing w:before="248"/>
        <w:ind w:left="151" w:right="84" w:firstLine="11"/>
        <w:jc w:val="both"/>
        <w:rPr>
          <w:b/>
          <w:spacing w:val="-2"/>
          <w:sz w:val="24"/>
        </w:rPr>
      </w:pPr>
      <w:r>
        <w:rPr>
          <w:b/>
          <w:spacing w:val="-2"/>
          <w:sz w:val="24"/>
        </w:rPr>
        <w:t>ALCANCE</w:t>
      </w:r>
    </w:p>
    <w:p w14:paraId="64BDE08A" w14:textId="011DE4E8" w:rsidR="0084461C" w:rsidRDefault="0084461C" w:rsidP="00E04959">
      <w:pPr>
        <w:pStyle w:val="TableParagraph"/>
        <w:spacing w:before="248"/>
        <w:ind w:left="151" w:right="84" w:firstLine="11"/>
        <w:jc w:val="both"/>
        <w:rPr>
          <w:sz w:val="24"/>
        </w:rPr>
      </w:pPr>
      <w:r>
        <w:rPr>
          <w:sz w:val="24"/>
        </w:rPr>
        <w:t>El control interno debe permitir, no obstaculizar, el logro de los objetivos organizacionales, aceptar el riesgo sin hacer nada además de dar seguimiento a los cambios en el riesgo.</w:t>
      </w:r>
    </w:p>
    <w:p w14:paraId="25396C98" w14:textId="3A53A2CB" w:rsidR="0084461C" w:rsidRDefault="0084461C" w:rsidP="00E04959">
      <w:pPr>
        <w:pStyle w:val="TableParagraph"/>
        <w:spacing w:before="248"/>
        <w:ind w:left="151" w:right="84" w:firstLine="11"/>
        <w:jc w:val="both"/>
        <w:rPr>
          <w:b/>
          <w:spacing w:val="-2"/>
          <w:sz w:val="24"/>
        </w:rPr>
      </w:pPr>
      <w:r>
        <w:rPr>
          <w:b/>
          <w:spacing w:val="-2"/>
          <w:sz w:val="24"/>
        </w:rPr>
        <w:t>METODOLOGIA</w:t>
      </w:r>
    </w:p>
    <w:p w14:paraId="051A044B" w14:textId="671CF5F1" w:rsidR="0084461C" w:rsidRDefault="0084461C" w:rsidP="00E04959">
      <w:pPr>
        <w:pStyle w:val="TableParagraph"/>
        <w:spacing w:before="248"/>
        <w:ind w:left="151" w:right="84" w:firstLine="11"/>
        <w:jc w:val="both"/>
        <w:rPr>
          <w:sz w:val="24"/>
        </w:rPr>
      </w:pPr>
      <w:r>
        <w:rPr>
          <w:sz w:val="24"/>
        </w:rPr>
        <w:t>La oficina de control interno elaboro el informe de seguimiento presentados</w:t>
      </w:r>
      <w:r>
        <w:rPr>
          <w:spacing w:val="-2"/>
          <w:sz w:val="24"/>
        </w:rPr>
        <w:t xml:space="preserve"> </w:t>
      </w:r>
      <w:r>
        <w:rPr>
          <w:sz w:val="24"/>
        </w:rPr>
        <w:t xml:space="preserve">por </w:t>
      </w:r>
      <w:r>
        <w:rPr>
          <w:spacing w:val="-2"/>
          <w:sz w:val="24"/>
        </w:rPr>
        <w:t>los</w:t>
      </w:r>
      <w:r>
        <w:rPr>
          <w:spacing w:val="-17"/>
          <w:sz w:val="24"/>
        </w:rPr>
        <w:t xml:space="preserve"> </w:t>
      </w:r>
      <w:r>
        <w:rPr>
          <w:spacing w:val="-2"/>
          <w:sz w:val="24"/>
        </w:rPr>
        <w:t>responsables</w:t>
      </w:r>
      <w:r>
        <w:rPr>
          <w:spacing w:val="-17"/>
          <w:sz w:val="24"/>
        </w:rPr>
        <w:t xml:space="preserve"> </w:t>
      </w:r>
      <w:r>
        <w:rPr>
          <w:spacing w:val="-2"/>
          <w:sz w:val="24"/>
        </w:rPr>
        <w:t>de</w:t>
      </w:r>
      <w:r>
        <w:rPr>
          <w:spacing w:val="-17"/>
          <w:sz w:val="24"/>
        </w:rPr>
        <w:t xml:space="preserve"> </w:t>
      </w:r>
      <w:r>
        <w:rPr>
          <w:spacing w:val="-2"/>
          <w:sz w:val="24"/>
        </w:rPr>
        <w:t>los</w:t>
      </w:r>
      <w:r>
        <w:rPr>
          <w:spacing w:val="-16"/>
          <w:sz w:val="24"/>
        </w:rPr>
        <w:t xml:space="preserve"> </w:t>
      </w:r>
      <w:r>
        <w:rPr>
          <w:spacing w:val="-2"/>
          <w:sz w:val="24"/>
        </w:rPr>
        <w:t>procesos</w:t>
      </w:r>
      <w:r>
        <w:rPr>
          <w:spacing w:val="-17"/>
          <w:sz w:val="24"/>
        </w:rPr>
        <w:t xml:space="preserve"> </w:t>
      </w:r>
      <w:r>
        <w:rPr>
          <w:spacing w:val="-2"/>
          <w:sz w:val="24"/>
        </w:rPr>
        <w:t>a</w:t>
      </w:r>
      <w:r>
        <w:rPr>
          <w:spacing w:val="-17"/>
          <w:sz w:val="24"/>
        </w:rPr>
        <w:t xml:space="preserve"> </w:t>
      </w:r>
      <w:r>
        <w:rPr>
          <w:spacing w:val="-2"/>
          <w:sz w:val="24"/>
        </w:rPr>
        <w:t>la</w:t>
      </w:r>
      <w:r>
        <w:rPr>
          <w:spacing w:val="-17"/>
          <w:sz w:val="24"/>
        </w:rPr>
        <w:t xml:space="preserve"> </w:t>
      </w:r>
      <w:r>
        <w:rPr>
          <w:spacing w:val="-2"/>
          <w:sz w:val="24"/>
        </w:rPr>
        <w:t>oficina</w:t>
      </w:r>
      <w:r>
        <w:rPr>
          <w:spacing w:val="-16"/>
          <w:sz w:val="24"/>
        </w:rPr>
        <w:t xml:space="preserve"> </w:t>
      </w:r>
      <w:r>
        <w:rPr>
          <w:spacing w:val="-2"/>
          <w:sz w:val="24"/>
        </w:rPr>
        <w:t>de</w:t>
      </w:r>
      <w:r>
        <w:rPr>
          <w:spacing w:val="-17"/>
          <w:sz w:val="24"/>
        </w:rPr>
        <w:t xml:space="preserve"> </w:t>
      </w:r>
      <w:r>
        <w:rPr>
          <w:spacing w:val="-2"/>
          <w:sz w:val="24"/>
        </w:rPr>
        <w:t>Planeación.</w:t>
      </w:r>
      <w:r>
        <w:rPr>
          <w:spacing w:val="-17"/>
          <w:sz w:val="24"/>
        </w:rPr>
        <w:t xml:space="preserve"> </w:t>
      </w:r>
      <w:r>
        <w:rPr>
          <w:spacing w:val="-2"/>
          <w:sz w:val="24"/>
        </w:rPr>
        <w:t>Resultados</w:t>
      </w:r>
      <w:r>
        <w:rPr>
          <w:spacing w:val="-17"/>
          <w:sz w:val="24"/>
        </w:rPr>
        <w:t xml:space="preserve"> </w:t>
      </w:r>
      <w:r>
        <w:rPr>
          <w:spacing w:val="-2"/>
          <w:sz w:val="24"/>
        </w:rPr>
        <w:t xml:space="preserve">consolidados </w:t>
      </w:r>
      <w:r>
        <w:rPr>
          <w:sz w:val="24"/>
        </w:rPr>
        <w:t>a través de la herramienta definida por el Departamento de la Función Pública y con</w:t>
      </w:r>
      <w:r>
        <w:rPr>
          <w:spacing w:val="-11"/>
          <w:sz w:val="24"/>
        </w:rPr>
        <w:t xml:space="preserve"> </w:t>
      </w:r>
      <w:r>
        <w:rPr>
          <w:sz w:val="24"/>
        </w:rPr>
        <w:t>base</w:t>
      </w:r>
      <w:r>
        <w:rPr>
          <w:spacing w:val="-8"/>
          <w:sz w:val="24"/>
        </w:rPr>
        <w:t xml:space="preserve"> </w:t>
      </w:r>
      <w:r>
        <w:rPr>
          <w:sz w:val="24"/>
        </w:rPr>
        <w:t>a</w:t>
      </w:r>
      <w:r>
        <w:rPr>
          <w:spacing w:val="-11"/>
          <w:sz w:val="24"/>
        </w:rPr>
        <w:t xml:space="preserve"> </w:t>
      </w:r>
      <w:r>
        <w:rPr>
          <w:sz w:val="24"/>
        </w:rPr>
        <w:t>los</w:t>
      </w:r>
      <w:r>
        <w:rPr>
          <w:spacing w:val="-9"/>
          <w:sz w:val="24"/>
        </w:rPr>
        <w:t xml:space="preserve"> </w:t>
      </w:r>
      <w:r>
        <w:rPr>
          <w:sz w:val="24"/>
        </w:rPr>
        <w:t>resultados</w:t>
      </w:r>
      <w:r>
        <w:rPr>
          <w:spacing w:val="-9"/>
          <w:sz w:val="24"/>
        </w:rPr>
        <w:t xml:space="preserve"> </w:t>
      </w:r>
      <w:r>
        <w:rPr>
          <w:sz w:val="24"/>
        </w:rPr>
        <w:t>de</w:t>
      </w:r>
      <w:r>
        <w:rPr>
          <w:spacing w:val="-9"/>
          <w:sz w:val="24"/>
        </w:rPr>
        <w:t xml:space="preserve"> </w:t>
      </w:r>
      <w:r>
        <w:rPr>
          <w:sz w:val="24"/>
        </w:rPr>
        <w:t>la</w:t>
      </w:r>
      <w:r>
        <w:rPr>
          <w:spacing w:val="-11"/>
          <w:sz w:val="24"/>
        </w:rPr>
        <w:t xml:space="preserve"> </w:t>
      </w:r>
      <w:r>
        <w:rPr>
          <w:sz w:val="24"/>
        </w:rPr>
        <w:t>encuesta</w:t>
      </w:r>
      <w:r>
        <w:rPr>
          <w:spacing w:val="-12"/>
          <w:sz w:val="24"/>
        </w:rPr>
        <w:t xml:space="preserve"> </w:t>
      </w:r>
      <w:r>
        <w:rPr>
          <w:sz w:val="24"/>
        </w:rPr>
        <w:t>diligenciada</w:t>
      </w:r>
      <w:r>
        <w:rPr>
          <w:spacing w:val="-8"/>
          <w:sz w:val="24"/>
        </w:rPr>
        <w:t xml:space="preserve"> </w:t>
      </w:r>
      <w:r>
        <w:rPr>
          <w:sz w:val="24"/>
        </w:rPr>
        <w:t>a</w:t>
      </w:r>
      <w:r>
        <w:rPr>
          <w:spacing w:val="-11"/>
          <w:sz w:val="24"/>
        </w:rPr>
        <w:t xml:space="preserve"> </w:t>
      </w:r>
      <w:r>
        <w:rPr>
          <w:sz w:val="24"/>
        </w:rPr>
        <w:t>través</w:t>
      </w:r>
      <w:r>
        <w:rPr>
          <w:spacing w:val="-9"/>
          <w:sz w:val="24"/>
        </w:rPr>
        <w:t xml:space="preserve"> </w:t>
      </w:r>
      <w:r>
        <w:rPr>
          <w:sz w:val="24"/>
        </w:rPr>
        <w:t>del</w:t>
      </w:r>
      <w:r>
        <w:rPr>
          <w:spacing w:val="-9"/>
          <w:sz w:val="24"/>
        </w:rPr>
        <w:t xml:space="preserve"> </w:t>
      </w:r>
      <w:r>
        <w:rPr>
          <w:sz w:val="24"/>
        </w:rPr>
        <w:t>aplicativo</w:t>
      </w:r>
      <w:r>
        <w:rPr>
          <w:spacing w:val="-8"/>
          <w:sz w:val="24"/>
        </w:rPr>
        <w:t xml:space="preserve"> </w:t>
      </w:r>
      <w:r>
        <w:rPr>
          <w:sz w:val="24"/>
        </w:rPr>
        <w:t>virtual del Departamento Administrativo de la Función Pública DAFP.</w:t>
      </w:r>
    </w:p>
    <w:p w14:paraId="4F618870" w14:textId="3BD25D98" w:rsidR="0084461C" w:rsidRDefault="0084461C" w:rsidP="00E04959">
      <w:pPr>
        <w:pStyle w:val="TableParagraph"/>
        <w:spacing w:before="248"/>
        <w:ind w:left="151" w:right="84" w:firstLine="11"/>
        <w:jc w:val="both"/>
        <w:rPr>
          <w:b/>
          <w:spacing w:val="-2"/>
          <w:sz w:val="24"/>
        </w:rPr>
      </w:pPr>
      <w:r>
        <w:rPr>
          <w:b/>
          <w:sz w:val="24"/>
        </w:rPr>
        <w:t>INFORME</w:t>
      </w:r>
      <w:r>
        <w:rPr>
          <w:b/>
          <w:spacing w:val="-3"/>
          <w:sz w:val="24"/>
        </w:rPr>
        <w:t xml:space="preserve"> </w:t>
      </w:r>
      <w:r>
        <w:rPr>
          <w:b/>
          <w:spacing w:val="-2"/>
          <w:sz w:val="24"/>
        </w:rPr>
        <w:t>EJECUTIVO</w:t>
      </w:r>
    </w:p>
    <w:p w14:paraId="3A810861" w14:textId="77777777" w:rsidR="0071752D" w:rsidRPr="0071752D" w:rsidRDefault="0071752D" w:rsidP="0071752D">
      <w:pPr>
        <w:pStyle w:val="TableParagraph"/>
        <w:spacing w:before="248"/>
        <w:ind w:left="151" w:right="84" w:firstLine="11"/>
        <w:jc w:val="both"/>
        <w:rPr>
          <w:spacing w:val="-2"/>
        </w:rPr>
      </w:pPr>
      <w:r w:rsidRPr="0071752D">
        <w:rPr>
          <w:spacing w:val="-2"/>
        </w:rPr>
        <w:t>1. Análisis del Índice de Control Interno – FURAG 2025</w:t>
      </w:r>
    </w:p>
    <w:p w14:paraId="032B4AC8" w14:textId="77777777" w:rsidR="0071752D" w:rsidRPr="0071752D" w:rsidRDefault="0071752D" w:rsidP="0071752D">
      <w:pPr>
        <w:pStyle w:val="TableParagraph"/>
        <w:spacing w:before="248"/>
        <w:ind w:left="151" w:right="84" w:firstLine="11"/>
        <w:jc w:val="both"/>
        <w:rPr>
          <w:spacing w:val="-2"/>
        </w:rPr>
      </w:pPr>
      <w:r w:rsidRPr="0071752D">
        <w:rPr>
          <w:spacing w:val="-2"/>
        </w:rPr>
        <w:t>La gráfica indica:</w:t>
      </w:r>
    </w:p>
    <w:p w14:paraId="2EE09075" w14:textId="77777777" w:rsidR="0071752D" w:rsidRPr="0071752D" w:rsidRDefault="0071752D" w:rsidP="00EE4D43">
      <w:pPr>
        <w:pStyle w:val="TableParagraph"/>
        <w:numPr>
          <w:ilvl w:val="0"/>
          <w:numId w:val="2"/>
        </w:numPr>
        <w:spacing w:before="248"/>
        <w:ind w:right="84"/>
        <w:jc w:val="both"/>
        <w:rPr>
          <w:spacing w:val="-2"/>
        </w:rPr>
      </w:pPr>
      <w:r w:rsidRPr="0071752D">
        <w:rPr>
          <w:spacing w:val="-2"/>
        </w:rPr>
        <w:t>Puntaje consultado (ESE Santiago de Tunja): 69,2</w:t>
      </w:r>
    </w:p>
    <w:p w14:paraId="78129C03" w14:textId="77777777" w:rsidR="0071752D" w:rsidRPr="0071752D" w:rsidRDefault="0071752D" w:rsidP="00EE4D43">
      <w:pPr>
        <w:pStyle w:val="TableParagraph"/>
        <w:numPr>
          <w:ilvl w:val="0"/>
          <w:numId w:val="2"/>
        </w:numPr>
        <w:spacing w:before="248"/>
        <w:ind w:right="84"/>
        <w:jc w:val="both"/>
        <w:rPr>
          <w:spacing w:val="-2"/>
        </w:rPr>
      </w:pPr>
      <w:r w:rsidRPr="0071752D">
        <w:rPr>
          <w:spacing w:val="-2"/>
        </w:rPr>
        <w:t>Promedio del grupo par: 81,0</w:t>
      </w:r>
    </w:p>
    <w:p w14:paraId="7CF8292E" w14:textId="77777777" w:rsidR="0071752D" w:rsidRPr="0071752D" w:rsidRDefault="0071752D" w:rsidP="00EE4D43">
      <w:pPr>
        <w:pStyle w:val="TableParagraph"/>
        <w:numPr>
          <w:ilvl w:val="0"/>
          <w:numId w:val="2"/>
        </w:numPr>
        <w:spacing w:before="248"/>
        <w:ind w:right="84"/>
        <w:jc w:val="both"/>
        <w:rPr>
          <w:spacing w:val="-2"/>
        </w:rPr>
      </w:pPr>
      <w:r w:rsidRPr="0071752D">
        <w:rPr>
          <w:spacing w:val="-2"/>
        </w:rPr>
        <w:t>Mínimo del grupo par: 54</w:t>
      </w:r>
    </w:p>
    <w:p w14:paraId="5750C0EC" w14:textId="77777777" w:rsidR="0071752D" w:rsidRPr="0071752D" w:rsidRDefault="0071752D" w:rsidP="00EE4D43">
      <w:pPr>
        <w:pStyle w:val="TableParagraph"/>
        <w:numPr>
          <w:ilvl w:val="0"/>
          <w:numId w:val="2"/>
        </w:numPr>
        <w:spacing w:before="248"/>
        <w:ind w:right="84"/>
        <w:jc w:val="both"/>
        <w:rPr>
          <w:spacing w:val="-2"/>
        </w:rPr>
      </w:pPr>
      <w:r w:rsidRPr="0071752D">
        <w:rPr>
          <w:spacing w:val="-2"/>
        </w:rPr>
        <w:t>Máximo del grupo par: 98</w:t>
      </w:r>
    </w:p>
    <w:p w14:paraId="5005F746" w14:textId="5C9BD7BE" w:rsidR="0071752D" w:rsidRPr="00C20C53" w:rsidRDefault="0071752D" w:rsidP="0071752D">
      <w:pPr>
        <w:pStyle w:val="TableParagraph"/>
        <w:spacing w:before="248"/>
        <w:ind w:left="151" w:right="84" w:firstLine="11"/>
        <w:jc w:val="both"/>
        <w:rPr>
          <w:b/>
          <w:bCs/>
          <w:spacing w:val="-2"/>
        </w:rPr>
      </w:pPr>
      <w:r w:rsidRPr="0071752D">
        <w:rPr>
          <w:spacing w:val="-2"/>
        </w:rPr>
        <w:t xml:space="preserve"> </w:t>
      </w:r>
      <w:r w:rsidRPr="00C20C53">
        <w:rPr>
          <w:b/>
          <w:bCs/>
          <w:spacing w:val="-2"/>
        </w:rPr>
        <w:t>Interpretación del puntaje (MECI)</w:t>
      </w:r>
    </w:p>
    <w:p w14:paraId="0FEC1498" w14:textId="77777777" w:rsidR="0071752D" w:rsidRPr="0071752D" w:rsidRDefault="0071752D" w:rsidP="0071752D">
      <w:pPr>
        <w:pStyle w:val="TableParagraph"/>
        <w:spacing w:before="248"/>
        <w:ind w:left="151" w:right="84" w:firstLine="11"/>
        <w:jc w:val="both"/>
        <w:rPr>
          <w:spacing w:val="-2"/>
        </w:rPr>
      </w:pPr>
      <w:r w:rsidRPr="0071752D">
        <w:rPr>
          <w:spacing w:val="-2"/>
        </w:rPr>
        <w:t>El Índice de Control Interno refleja el grado de implementación, efectividad y madurez del Sistema de Control Interno conforme a los lineamientos del MECI y MIPG.</w:t>
      </w:r>
    </w:p>
    <w:p w14:paraId="6EDECEBA" w14:textId="77777777" w:rsidR="0071752D" w:rsidRPr="0071752D" w:rsidRDefault="0071752D" w:rsidP="0071752D">
      <w:pPr>
        <w:pStyle w:val="TableParagraph"/>
        <w:spacing w:before="248"/>
        <w:ind w:left="151" w:right="84" w:firstLine="11"/>
        <w:jc w:val="both"/>
        <w:rPr>
          <w:bCs/>
          <w:spacing w:val="-2"/>
        </w:rPr>
      </w:pPr>
      <w:r w:rsidRPr="0071752D">
        <w:rPr>
          <w:bCs/>
          <w:spacing w:val="-2"/>
        </w:rPr>
        <w:t>Un puntaje de 69,2 ubica a la entidad en un nivel medio–alto de avance, evidenciando:</w:t>
      </w:r>
    </w:p>
    <w:p w14:paraId="33CEFB39" w14:textId="77777777" w:rsidR="0071752D" w:rsidRPr="0071752D" w:rsidRDefault="0071752D" w:rsidP="00EE4D43">
      <w:pPr>
        <w:pStyle w:val="TableParagraph"/>
        <w:numPr>
          <w:ilvl w:val="0"/>
          <w:numId w:val="3"/>
        </w:numPr>
        <w:spacing w:before="248"/>
        <w:ind w:right="84"/>
        <w:jc w:val="both"/>
        <w:rPr>
          <w:bCs/>
          <w:spacing w:val="-2"/>
        </w:rPr>
      </w:pPr>
      <w:r w:rsidRPr="0071752D">
        <w:rPr>
          <w:bCs/>
          <w:spacing w:val="-2"/>
        </w:rPr>
        <w:lastRenderedPageBreak/>
        <w:t>Fortalecimiento de los componentes del MECI: ambiente de control, gestión del riesgo, actividades de control, información y comunicación, y monitoreo.</w:t>
      </w:r>
    </w:p>
    <w:p w14:paraId="26887E32" w14:textId="77777777" w:rsidR="0071752D" w:rsidRPr="0071752D" w:rsidRDefault="0071752D" w:rsidP="00EE4D43">
      <w:pPr>
        <w:pStyle w:val="TableParagraph"/>
        <w:numPr>
          <w:ilvl w:val="0"/>
          <w:numId w:val="3"/>
        </w:numPr>
        <w:spacing w:before="248"/>
        <w:ind w:right="84"/>
        <w:jc w:val="both"/>
        <w:rPr>
          <w:bCs/>
          <w:spacing w:val="-2"/>
        </w:rPr>
      </w:pPr>
      <w:r w:rsidRPr="0071752D">
        <w:rPr>
          <w:bCs/>
          <w:spacing w:val="-2"/>
        </w:rPr>
        <w:t>Funcionamiento estructurado de los comités de apoyo (Control Interno, Ética, Gestión y Desempeño, Seguridad del Paciente, entre otros).</w:t>
      </w:r>
    </w:p>
    <w:p w14:paraId="5D5DF863" w14:textId="77777777" w:rsidR="0071752D" w:rsidRPr="0071752D" w:rsidRDefault="0071752D" w:rsidP="00EE4D43">
      <w:pPr>
        <w:pStyle w:val="TableParagraph"/>
        <w:numPr>
          <w:ilvl w:val="0"/>
          <w:numId w:val="3"/>
        </w:numPr>
        <w:spacing w:before="248"/>
        <w:ind w:right="84"/>
        <w:jc w:val="both"/>
        <w:rPr>
          <w:bCs/>
          <w:spacing w:val="-2"/>
        </w:rPr>
      </w:pPr>
      <w:r w:rsidRPr="0071752D">
        <w:rPr>
          <w:bCs/>
          <w:spacing w:val="-2"/>
        </w:rPr>
        <w:t>Cumplimiento progresivo de prácticas de autocontrol y aseguramiento razonable.</w:t>
      </w:r>
    </w:p>
    <w:p w14:paraId="790EDEF4" w14:textId="77777777" w:rsidR="0071752D" w:rsidRPr="0071752D" w:rsidRDefault="0071752D" w:rsidP="0071752D">
      <w:pPr>
        <w:pStyle w:val="TableParagraph"/>
        <w:spacing w:before="248"/>
        <w:ind w:left="151" w:right="84" w:firstLine="11"/>
        <w:jc w:val="both"/>
        <w:rPr>
          <w:bCs/>
          <w:spacing w:val="-2"/>
        </w:rPr>
      </w:pPr>
      <w:r w:rsidRPr="0071752D">
        <w:rPr>
          <w:bCs/>
          <w:spacing w:val="-2"/>
        </w:rPr>
        <w:t>Aunque el promedio del grupo par (81) está por encima, el comportamiento muestra un avance respecto a vigencias anteriores, lo cual indica mejoras en la operación del Sistema de Control Interno.</w:t>
      </w:r>
    </w:p>
    <w:p w14:paraId="0A9C8872" w14:textId="21550D67" w:rsidR="0071752D" w:rsidRPr="00846B05" w:rsidRDefault="00756EAF" w:rsidP="00846B05">
      <w:pPr>
        <w:pStyle w:val="TableParagraph"/>
        <w:spacing w:before="248"/>
        <w:ind w:right="84"/>
        <w:jc w:val="both"/>
        <w:rPr>
          <w:b/>
          <w:spacing w:val="-2"/>
          <w:sz w:val="28"/>
          <w:szCs w:val="28"/>
        </w:rPr>
      </w:pPr>
      <w:r w:rsidRPr="00756EAF">
        <w:rPr>
          <w:b/>
          <w:spacing w:val="-2"/>
          <w:sz w:val="28"/>
          <w:szCs w:val="28"/>
        </w:rPr>
        <w:t>Resultados MECI 2024</w:t>
      </w:r>
    </w:p>
    <w:p w14:paraId="0B748FD6" w14:textId="0A66FBF0" w:rsidR="00846B05" w:rsidRDefault="00756EAF" w:rsidP="00846B05">
      <w:pPr>
        <w:pStyle w:val="TableParagraph"/>
        <w:spacing w:before="248"/>
        <w:ind w:left="151" w:right="84" w:firstLine="11"/>
        <w:jc w:val="both"/>
        <w:rPr>
          <w:sz w:val="24"/>
        </w:rPr>
      </w:pPr>
      <w:r w:rsidRPr="00756EAF">
        <w:rPr>
          <w:noProof/>
          <w:sz w:val="24"/>
          <w:lang w:val="es-CO"/>
        </w:rPr>
        <w:drawing>
          <wp:inline distT="0" distB="0" distL="0" distR="0" wp14:anchorId="108AD416" wp14:editId="6A2A5985">
            <wp:extent cx="5461000" cy="4253960"/>
            <wp:effectExtent l="0" t="0" r="6350" b="0"/>
            <wp:docPr id="6" name="Imagen 5" descr="Diagrama&#10;&#10;El contenido generado por IA puede ser incorrecto.">
              <a:extLst xmlns:a="http://schemas.openxmlformats.org/drawingml/2006/main">
                <a:ext uri="{FF2B5EF4-FFF2-40B4-BE49-F238E27FC236}">
                  <a16:creationId xmlns:a16="http://schemas.microsoft.com/office/drawing/2014/main" id="{A0B620AB-5BF6-E5E0-D880-80DB08DA7B7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5" descr="Diagrama&#10;&#10;El contenido generado por IA puede ser incorrecto.">
                      <a:extLst>
                        <a:ext uri="{FF2B5EF4-FFF2-40B4-BE49-F238E27FC236}">
                          <a16:creationId xmlns:a16="http://schemas.microsoft.com/office/drawing/2014/main" id="{A0B620AB-5BF6-E5E0-D880-80DB08DA7B78}"/>
                        </a:ext>
                      </a:extLst>
                    </pic:cNvPr>
                    <pic:cNvPicPr>
                      <a:picLocks noChangeAspect="1"/>
                    </pic:cNvPicPr>
                  </pic:nvPicPr>
                  <pic:blipFill>
                    <a:blip r:embed="rId8"/>
                    <a:stretch>
                      <a:fillRect/>
                    </a:stretch>
                  </pic:blipFill>
                  <pic:spPr>
                    <a:xfrm>
                      <a:off x="0" y="0"/>
                      <a:ext cx="5470540" cy="4261391"/>
                    </a:xfrm>
                    <a:prstGeom prst="rect">
                      <a:avLst/>
                    </a:prstGeom>
                  </pic:spPr>
                </pic:pic>
              </a:graphicData>
            </a:graphic>
          </wp:inline>
        </w:drawing>
      </w:r>
    </w:p>
    <w:p w14:paraId="2EBC586B" w14:textId="5DD92893" w:rsidR="00315DE2" w:rsidRDefault="00315DE2" w:rsidP="0071752D">
      <w:pPr>
        <w:pStyle w:val="TableParagraph"/>
        <w:spacing w:before="248"/>
        <w:ind w:right="84"/>
        <w:jc w:val="both"/>
        <w:rPr>
          <w:b/>
          <w:bCs/>
          <w:sz w:val="24"/>
          <w:szCs w:val="24"/>
        </w:rPr>
      </w:pPr>
      <w:r>
        <w:rPr>
          <w:b/>
          <w:bCs/>
          <w:sz w:val="24"/>
          <w:szCs w:val="24"/>
        </w:rPr>
        <w:t xml:space="preserve">                                       </w:t>
      </w:r>
    </w:p>
    <w:p w14:paraId="5B172BA9" w14:textId="0A98BB8B" w:rsidR="00756EAF" w:rsidRPr="00315DE2" w:rsidRDefault="00756EAF" w:rsidP="0071752D">
      <w:pPr>
        <w:pStyle w:val="TableParagraph"/>
        <w:spacing w:before="248"/>
        <w:ind w:right="84"/>
        <w:jc w:val="both"/>
        <w:rPr>
          <w:b/>
          <w:bCs/>
          <w:sz w:val="24"/>
          <w:szCs w:val="24"/>
        </w:rPr>
      </w:pPr>
      <w:r w:rsidRPr="00315DE2">
        <w:rPr>
          <w:b/>
          <w:bCs/>
          <w:sz w:val="24"/>
          <w:szCs w:val="24"/>
        </w:rPr>
        <w:lastRenderedPageBreak/>
        <w:t>2025 AUMENTO 11.2 %</w:t>
      </w:r>
    </w:p>
    <w:p w14:paraId="24E00B36" w14:textId="38453BC0" w:rsidR="00756EAF" w:rsidRDefault="00756EAF" w:rsidP="00756EAF">
      <w:pPr>
        <w:pStyle w:val="TableParagraph"/>
        <w:spacing w:before="248"/>
        <w:ind w:right="84"/>
        <w:jc w:val="both"/>
        <w:rPr>
          <w:sz w:val="24"/>
          <w:lang w:val="es-CO"/>
        </w:rPr>
      </w:pPr>
      <w:r>
        <w:rPr>
          <w:sz w:val="24"/>
          <w:lang w:val="es-CO"/>
        </w:rPr>
        <w:t xml:space="preserve">       </w:t>
      </w:r>
      <w:r w:rsidRPr="00756EAF">
        <w:rPr>
          <w:noProof/>
          <w:sz w:val="24"/>
          <w:lang w:val="es-CO"/>
        </w:rPr>
        <w:drawing>
          <wp:inline distT="0" distB="0" distL="0" distR="0" wp14:anchorId="7A9E55A5" wp14:editId="761C059F">
            <wp:extent cx="5113020" cy="4191000"/>
            <wp:effectExtent l="0" t="0" r="0" b="0"/>
            <wp:docPr id="3" name="Imagen 2" descr="Gráfico&#10;&#10;El contenido generado por IA puede ser incorrecto.">
              <a:extLst xmlns:a="http://schemas.openxmlformats.org/drawingml/2006/main">
                <a:ext uri="{FF2B5EF4-FFF2-40B4-BE49-F238E27FC236}">
                  <a16:creationId xmlns:a16="http://schemas.microsoft.com/office/drawing/2014/main" id="{6F7493AD-F9F6-D28C-1B4C-D230B5380CD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descr="Gráfico&#10;&#10;El contenido generado por IA puede ser incorrecto.">
                      <a:extLst>
                        <a:ext uri="{FF2B5EF4-FFF2-40B4-BE49-F238E27FC236}">
                          <a16:creationId xmlns:a16="http://schemas.microsoft.com/office/drawing/2014/main" id="{6F7493AD-F9F6-D28C-1B4C-D230B5380CD0}"/>
                        </a:ext>
                      </a:extLst>
                    </pic:cNvPr>
                    <pic:cNvPicPr>
                      <a:picLocks noChangeAspect="1"/>
                    </pic:cNvPicPr>
                  </pic:nvPicPr>
                  <pic:blipFill>
                    <a:blip r:embed="rId9"/>
                    <a:stretch>
                      <a:fillRect/>
                    </a:stretch>
                  </pic:blipFill>
                  <pic:spPr>
                    <a:xfrm>
                      <a:off x="0" y="0"/>
                      <a:ext cx="5126960" cy="4202426"/>
                    </a:xfrm>
                    <a:prstGeom prst="rect">
                      <a:avLst/>
                    </a:prstGeom>
                  </pic:spPr>
                </pic:pic>
              </a:graphicData>
            </a:graphic>
          </wp:inline>
        </w:drawing>
      </w:r>
      <w:r w:rsidRPr="00756EAF">
        <w:rPr>
          <w:sz w:val="24"/>
          <w:lang w:val="es-CO"/>
        </w:rPr>
        <w:t xml:space="preserve"> </w:t>
      </w:r>
    </w:p>
    <w:p w14:paraId="55B72D0F" w14:textId="77777777" w:rsidR="00846B05" w:rsidRPr="00846B05" w:rsidRDefault="00846B05" w:rsidP="00846B05">
      <w:pPr>
        <w:pStyle w:val="TableParagraph"/>
        <w:spacing w:before="248"/>
        <w:ind w:right="84"/>
        <w:jc w:val="both"/>
        <w:rPr>
          <w:b/>
          <w:bCs/>
        </w:rPr>
      </w:pPr>
      <w:r w:rsidRPr="00846B05">
        <w:rPr>
          <w:b/>
          <w:bCs/>
        </w:rPr>
        <w:t>1. Resultados generales observados en las gráficas MECI</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92"/>
        <w:gridCol w:w="3824"/>
      </w:tblGrid>
      <w:tr w:rsidR="00846B05" w:rsidRPr="00846B05" w14:paraId="418F8234" w14:textId="77777777">
        <w:trPr>
          <w:tblHeader/>
          <w:tblCellSpacing w:w="15" w:type="dxa"/>
        </w:trPr>
        <w:tc>
          <w:tcPr>
            <w:tcW w:w="0" w:type="auto"/>
            <w:vAlign w:val="center"/>
            <w:hideMark/>
          </w:tcPr>
          <w:p w14:paraId="6F488086" w14:textId="77777777" w:rsidR="00846B05" w:rsidRPr="00846B05" w:rsidRDefault="00846B05" w:rsidP="00846B05">
            <w:pPr>
              <w:pStyle w:val="TableParagraph"/>
              <w:spacing w:before="248"/>
              <w:ind w:right="84"/>
              <w:jc w:val="both"/>
              <w:rPr>
                <w:b/>
                <w:bCs/>
              </w:rPr>
            </w:pPr>
            <w:r w:rsidRPr="00846B05">
              <w:rPr>
                <w:b/>
                <w:bCs/>
              </w:rPr>
              <w:t>Vigencia</w:t>
            </w:r>
          </w:p>
        </w:tc>
        <w:tc>
          <w:tcPr>
            <w:tcW w:w="0" w:type="auto"/>
            <w:vAlign w:val="center"/>
            <w:hideMark/>
          </w:tcPr>
          <w:p w14:paraId="4B7779FB" w14:textId="77777777" w:rsidR="00846B05" w:rsidRPr="00846B05" w:rsidRDefault="00846B05" w:rsidP="00846B05">
            <w:pPr>
              <w:pStyle w:val="TableParagraph"/>
              <w:spacing w:before="248"/>
              <w:ind w:right="84"/>
              <w:jc w:val="both"/>
              <w:rPr>
                <w:b/>
                <w:bCs/>
              </w:rPr>
            </w:pPr>
            <w:r w:rsidRPr="00846B05">
              <w:rPr>
                <w:b/>
                <w:bCs/>
              </w:rPr>
              <w:t>Índice de Control Interno (MECI)</w:t>
            </w:r>
          </w:p>
        </w:tc>
      </w:tr>
      <w:tr w:rsidR="00846B05" w:rsidRPr="00846B05" w14:paraId="4B8DC3BC" w14:textId="77777777">
        <w:trPr>
          <w:tblCellSpacing w:w="15" w:type="dxa"/>
        </w:trPr>
        <w:tc>
          <w:tcPr>
            <w:tcW w:w="0" w:type="auto"/>
            <w:vAlign w:val="center"/>
            <w:hideMark/>
          </w:tcPr>
          <w:p w14:paraId="3982CD92" w14:textId="77777777" w:rsidR="00846B05" w:rsidRPr="00846B05" w:rsidRDefault="00846B05" w:rsidP="00846B05">
            <w:pPr>
              <w:pStyle w:val="TableParagraph"/>
              <w:spacing w:before="248"/>
              <w:ind w:right="84"/>
              <w:jc w:val="both"/>
            </w:pPr>
            <w:r w:rsidRPr="00846B05">
              <w:rPr>
                <w:b/>
                <w:bCs/>
              </w:rPr>
              <w:t>2024</w:t>
            </w:r>
          </w:p>
        </w:tc>
        <w:tc>
          <w:tcPr>
            <w:tcW w:w="0" w:type="auto"/>
            <w:vAlign w:val="center"/>
            <w:hideMark/>
          </w:tcPr>
          <w:p w14:paraId="6A153B38" w14:textId="77777777" w:rsidR="00846B05" w:rsidRPr="00846B05" w:rsidRDefault="00846B05" w:rsidP="00846B05">
            <w:pPr>
              <w:pStyle w:val="TableParagraph"/>
              <w:spacing w:before="248"/>
              <w:ind w:right="84"/>
              <w:jc w:val="both"/>
            </w:pPr>
            <w:r w:rsidRPr="00846B05">
              <w:rPr>
                <w:b/>
                <w:bCs/>
              </w:rPr>
              <w:t>69,2</w:t>
            </w:r>
          </w:p>
        </w:tc>
      </w:tr>
      <w:tr w:rsidR="00846B05" w:rsidRPr="00846B05" w14:paraId="51B5A28D" w14:textId="77777777">
        <w:trPr>
          <w:tblCellSpacing w:w="15" w:type="dxa"/>
        </w:trPr>
        <w:tc>
          <w:tcPr>
            <w:tcW w:w="0" w:type="auto"/>
            <w:vAlign w:val="center"/>
            <w:hideMark/>
          </w:tcPr>
          <w:p w14:paraId="189AEED2" w14:textId="77777777" w:rsidR="00846B05" w:rsidRPr="00846B05" w:rsidRDefault="00846B05" w:rsidP="00846B05">
            <w:pPr>
              <w:pStyle w:val="TableParagraph"/>
              <w:spacing w:before="248"/>
              <w:ind w:right="84"/>
              <w:jc w:val="both"/>
            </w:pPr>
            <w:r w:rsidRPr="00846B05">
              <w:rPr>
                <w:b/>
                <w:bCs/>
              </w:rPr>
              <w:t>2025</w:t>
            </w:r>
          </w:p>
        </w:tc>
        <w:tc>
          <w:tcPr>
            <w:tcW w:w="0" w:type="auto"/>
            <w:vAlign w:val="center"/>
            <w:hideMark/>
          </w:tcPr>
          <w:p w14:paraId="0AC8BADF" w14:textId="77777777" w:rsidR="00846B05" w:rsidRPr="00846B05" w:rsidRDefault="00846B05" w:rsidP="00846B05">
            <w:pPr>
              <w:pStyle w:val="TableParagraph"/>
              <w:spacing w:before="248"/>
              <w:ind w:right="84"/>
              <w:jc w:val="both"/>
            </w:pPr>
            <w:r w:rsidRPr="00846B05">
              <w:rPr>
                <w:b/>
                <w:bCs/>
              </w:rPr>
              <w:t>77,4</w:t>
            </w:r>
          </w:p>
        </w:tc>
      </w:tr>
      <w:tr w:rsidR="00846B05" w:rsidRPr="00846B05" w14:paraId="4E301054" w14:textId="77777777">
        <w:trPr>
          <w:tblCellSpacing w:w="15" w:type="dxa"/>
        </w:trPr>
        <w:tc>
          <w:tcPr>
            <w:tcW w:w="0" w:type="auto"/>
            <w:vAlign w:val="center"/>
            <w:hideMark/>
          </w:tcPr>
          <w:p w14:paraId="4029D523" w14:textId="77777777" w:rsidR="00846B05" w:rsidRPr="00846B05" w:rsidRDefault="00846B05" w:rsidP="00846B05">
            <w:pPr>
              <w:pStyle w:val="TableParagraph"/>
              <w:spacing w:before="248"/>
              <w:ind w:right="84"/>
              <w:jc w:val="both"/>
            </w:pPr>
            <w:r w:rsidRPr="00846B05">
              <w:rPr>
                <w:b/>
                <w:bCs/>
              </w:rPr>
              <w:t>Variación</w:t>
            </w:r>
          </w:p>
        </w:tc>
        <w:tc>
          <w:tcPr>
            <w:tcW w:w="0" w:type="auto"/>
            <w:vAlign w:val="center"/>
            <w:hideMark/>
          </w:tcPr>
          <w:p w14:paraId="1FE2785B" w14:textId="77777777" w:rsidR="00846B05" w:rsidRPr="00846B05" w:rsidRDefault="00846B05" w:rsidP="00846B05">
            <w:pPr>
              <w:pStyle w:val="TableParagraph"/>
              <w:spacing w:before="248"/>
              <w:ind w:right="84"/>
              <w:jc w:val="both"/>
            </w:pPr>
            <w:r w:rsidRPr="00846B05">
              <w:rPr>
                <w:b/>
                <w:bCs/>
              </w:rPr>
              <w:t>+8,2 puntos</w:t>
            </w:r>
          </w:p>
        </w:tc>
      </w:tr>
    </w:tbl>
    <w:p w14:paraId="07D58822" w14:textId="1EE1B428" w:rsidR="00846B05" w:rsidRPr="00846B05" w:rsidRDefault="00846B05" w:rsidP="00846B05">
      <w:pPr>
        <w:pStyle w:val="TableParagraph"/>
        <w:spacing w:before="248"/>
        <w:ind w:right="84"/>
        <w:jc w:val="both"/>
      </w:pPr>
      <w:r w:rsidRPr="00846B05">
        <w:t xml:space="preserve">El resultado evidencia un </w:t>
      </w:r>
      <w:r w:rsidRPr="00846B05">
        <w:rPr>
          <w:b/>
          <w:bCs/>
        </w:rPr>
        <w:t>incremento significativo de 8,2 puntos</w:t>
      </w:r>
      <w:r w:rsidRPr="00846B05">
        <w:t xml:space="preserve"> en el Índice de Control Interno entre las vigencias 2024 y 2025, lo cual representa un </w:t>
      </w:r>
      <w:r w:rsidRPr="00846B05">
        <w:rPr>
          <w:b/>
          <w:bCs/>
        </w:rPr>
        <w:t>avance sustancial en la madurez y efectividad del Sistema de Control Interno</w:t>
      </w:r>
      <w:r w:rsidRPr="00846B05">
        <w:t xml:space="preserve"> de la E.S.E. Santiago de Tunja.</w:t>
      </w:r>
    </w:p>
    <w:p w14:paraId="25D437BA" w14:textId="77777777" w:rsidR="00846B05" w:rsidRPr="00846B05" w:rsidRDefault="00846B05" w:rsidP="00846B05">
      <w:pPr>
        <w:pStyle w:val="TableParagraph"/>
        <w:spacing w:before="248"/>
        <w:ind w:right="84"/>
        <w:jc w:val="both"/>
        <w:rPr>
          <w:b/>
          <w:bCs/>
        </w:rPr>
      </w:pPr>
      <w:r w:rsidRPr="00846B05">
        <w:rPr>
          <w:b/>
          <w:bCs/>
        </w:rPr>
        <w:lastRenderedPageBreak/>
        <w:t>2. Análisis del resultado MECI – Vigencia 2024 (69,2)</w:t>
      </w:r>
    </w:p>
    <w:p w14:paraId="596A96F6" w14:textId="77777777" w:rsidR="00846B05" w:rsidRPr="00846B05" w:rsidRDefault="00846B05" w:rsidP="00846B05">
      <w:pPr>
        <w:pStyle w:val="TableParagraph"/>
        <w:spacing w:before="248"/>
        <w:ind w:right="84"/>
        <w:jc w:val="both"/>
      </w:pPr>
      <w:r w:rsidRPr="00846B05">
        <w:t xml:space="preserve">En la vigencia 2024, el puntaje de </w:t>
      </w:r>
      <w:r w:rsidRPr="00846B05">
        <w:rPr>
          <w:b/>
          <w:bCs/>
        </w:rPr>
        <w:t>69,2</w:t>
      </w:r>
      <w:r w:rsidRPr="00846B05">
        <w:t xml:space="preserve"> ubicó a la entidad en un </w:t>
      </w:r>
      <w:r w:rsidRPr="00846B05">
        <w:rPr>
          <w:b/>
          <w:bCs/>
        </w:rPr>
        <w:t>nivel medio de implementación del MECI</w:t>
      </w:r>
      <w:r w:rsidRPr="00846B05">
        <w:t>, caracterizado por:</w:t>
      </w:r>
    </w:p>
    <w:p w14:paraId="692E44A4" w14:textId="77777777" w:rsidR="00846B05" w:rsidRPr="00846B05" w:rsidRDefault="00846B05" w:rsidP="00846B05">
      <w:pPr>
        <w:pStyle w:val="TableParagraph"/>
        <w:numPr>
          <w:ilvl w:val="0"/>
          <w:numId w:val="22"/>
        </w:numPr>
        <w:spacing w:before="248"/>
        <w:ind w:right="84"/>
        <w:jc w:val="both"/>
      </w:pPr>
      <w:r w:rsidRPr="00846B05">
        <w:t xml:space="preserve">Un Sistema de Control Interno </w:t>
      </w:r>
      <w:r w:rsidRPr="00846B05">
        <w:rPr>
          <w:b/>
          <w:bCs/>
        </w:rPr>
        <w:t>formalmente establecido</w:t>
      </w:r>
      <w:r w:rsidRPr="00846B05">
        <w:t>, pero con debilidades en su apropiación operativa.</w:t>
      </w:r>
    </w:p>
    <w:p w14:paraId="2F0C2949" w14:textId="77777777" w:rsidR="00846B05" w:rsidRPr="00846B05" w:rsidRDefault="00846B05" w:rsidP="00846B05">
      <w:pPr>
        <w:pStyle w:val="TableParagraph"/>
        <w:numPr>
          <w:ilvl w:val="0"/>
          <w:numId w:val="22"/>
        </w:numPr>
        <w:spacing w:before="248"/>
        <w:ind w:right="84"/>
        <w:jc w:val="both"/>
      </w:pPr>
      <w:r w:rsidRPr="00846B05">
        <w:t>Avances parciales en:</w:t>
      </w:r>
    </w:p>
    <w:p w14:paraId="0098A9F8" w14:textId="77777777" w:rsidR="00846B05" w:rsidRPr="00846B05" w:rsidRDefault="00846B05" w:rsidP="00846B05">
      <w:pPr>
        <w:pStyle w:val="TableParagraph"/>
        <w:numPr>
          <w:ilvl w:val="1"/>
          <w:numId w:val="22"/>
        </w:numPr>
        <w:spacing w:before="248"/>
        <w:ind w:right="84"/>
        <w:jc w:val="both"/>
      </w:pPr>
      <w:r w:rsidRPr="00846B05">
        <w:t>Gestión del riesgo.</w:t>
      </w:r>
    </w:p>
    <w:p w14:paraId="7BBD3767" w14:textId="77777777" w:rsidR="00846B05" w:rsidRPr="00846B05" w:rsidRDefault="00846B05" w:rsidP="00846B05">
      <w:pPr>
        <w:pStyle w:val="TableParagraph"/>
        <w:numPr>
          <w:ilvl w:val="1"/>
          <w:numId w:val="22"/>
        </w:numPr>
        <w:spacing w:before="248"/>
        <w:ind w:right="84"/>
        <w:jc w:val="both"/>
      </w:pPr>
      <w:r w:rsidRPr="00846B05">
        <w:t>Seguimiento a planes de mejoramiento.</w:t>
      </w:r>
    </w:p>
    <w:p w14:paraId="25035FFC" w14:textId="77777777" w:rsidR="00846B05" w:rsidRPr="00846B05" w:rsidRDefault="00846B05" w:rsidP="00846B05">
      <w:pPr>
        <w:pStyle w:val="TableParagraph"/>
        <w:numPr>
          <w:ilvl w:val="1"/>
          <w:numId w:val="22"/>
        </w:numPr>
        <w:spacing w:before="248"/>
        <w:ind w:right="84"/>
        <w:jc w:val="both"/>
      </w:pPr>
      <w:r w:rsidRPr="00846B05">
        <w:t>Funcionamiento de comités institucionales.</w:t>
      </w:r>
    </w:p>
    <w:p w14:paraId="0D86056A" w14:textId="77777777" w:rsidR="00846B05" w:rsidRPr="00846B05" w:rsidRDefault="00846B05" w:rsidP="00846B05">
      <w:pPr>
        <w:pStyle w:val="TableParagraph"/>
        <w:numPr>
          <w:ilvl w:val="0"/>
          <w:numId w:val="22"/>
        </w:numPr>
        <w:spacing w:before="248"/>
        <w:ind w:right="84"/>
        <w:jc w:val="both"/>
      </w:pPr>
      <w:r w:rsidRPr="00846B05">
        <w:t>Limitaciones en:</w:t>
      </w:r>
    </w:p>
    <w:p w14:paraId="698A7631" w14:textId="77777777" w:rsidR="00846B05" w:rsidRPr="00846B05" w:rsidRDefault="00846B05" w:rsidP="00846B05">
      <w:pPr>
        <w:pStyle w:val="TableParagraph"/>
        <w:numPr>
          <w:ilvl w:val="1"/>
          <w:numId w:val="22"/>
        </w:numPr>
        <w:spacing w:before="248"/>
        <w:ind w:right="84"/>
        <w:jc w:val="both"/>
      </w:pPr>
      <w:r w:rsidRPr="00846B05">
        <w:t>Documentación y estandarización de procesos.</w:t>
      </w:r>
    </w:p>
    <w:p w14:paraId="7FE528F6" w14:textId="77777777" w:rsidR="00846B05" w:rsidRPr="00846B05" w:rsidRDefault="00846B05" w:rsidP="00846B05">
      <w:pPr>
        <w:pStyle w:val="TableParagraph"/>
        <w:numPr>
          <w:ilvl w:val="1"/>
          <w:numId w:val="22"/>
        </w:numPr>
        <w:spacing w:before="248"/>
        <w:ind w:right="84"/>
        <w:jc w:val="both"/>
      </w:pPr>
      <w:r w:rsidRPr="00846B05">
        <w:t>Seguimiento sistemático a controles.</w:t>
      </w:r>
    </w:p>
    <w:p w14:paraId="15616C8A" w14:textId="77777777" w:rsidR="00846B05" w:rsidRPr="00846B05" w:rsidRDefault="00846B05" w:rsidP="00846B05">
      <w:pPr>
        <w:pStyle w:val="TableParagraph"/>
        <w:numPr>
          <w:ilvl w:val="1"/>
          <w:numId w:val="22"/>
        </w:numPr>
        <w:spacing w:before="248"/>
        <w:ind w:right="84"/>
        <w:jc w:val="both"/>
      </w:pPr>
      <w:r w:rsidRPr="00846B05">
        <w:t>Uso de resultados de auditoría para la toma de decisiones.</w:t>
      </w:r>
    </w:p>
    <w:p w14:paraId="38CC8E57" w14:textId="521F999D" w:rsidR="00846B05" w:rsidRPr="00846B05" w:rsidRDefault="00846B05" w:rsidP="00846B05">
      <w:pPr>
        <w:pStyle w:val="TableParagraph"/>
        <w:spacing w:before="248"/>
        <w:ind w:right="84"/>
        <w:jc w:val="both"/>
      </w:pPr>
      <w:r w:rsidRPr="00846B05">
        <w:t xml:space="preserve">Desde Control Interno, el resultado 2024 reflejaba un sistema </w:t>
      </w:r>
      <w:r w:rsidRPr="00846B05">
        <w:rPr>
          <w:b/>
          <w:bCs/>
        </w:rPr>
        <w:t>en transición</w:t>
      </w:r>
      <w:r w:rsidRPr="00846B05">
        <w:t>, con controles definidos, pero aún con brechas en su efectividad y trazabilidad.</w:t>
      </w:r>
    </w:p>
    <w:p w14:paraId="1A7D6A50" w14:textId="77777777" w:rsidR="00846B05" w:rsidRPr="00846B05" w:rsidRDefault="00846B05" w:rsidP="00846B05">
      <w:pPr>
        <w:pStyle w:val="TableParagraph"/>
        <w:spacing w:before="248"/>
        <w:ind w:right="84"/>
        <w:jc w:val="both"/>
        <w:rPr>
          <w:b/>
          <w:bCs/>
        </w:rPr>
      </w:pPr>
      <w:r w:rsidRPr="00846B05">
        <w:rPr>
          <w:b/>
          <w:bCs/>
        </w:rPr>
        <w:t>3. Análisis del resultado MECI – Vigencia 2025 (77,4)</w:t>
      </w:r>
    </w:p>
    <w:p w14:paraId="58643635" w14:textId="77777777" w:rsidR="00846B05" w:rsidRPr="00846B05" w:rsidRDefault="00846B05" w:rsidP="00846B05">
      <w:pPr>
        <w:pStyle w:val="TableParagraph"/>
        <w:spacing w:before="248"/>
        <w:ind w:right="84"/>
        <w:jc w:val="both"/>
      </w:pPr>
      <w:r w:rsidRPr="00846B05">
        <w:t xml:space="preserve">Para la vigencia 2025, el puntaje de </w:t>
      </w:r>
      <w:r w:rsidRPr="00846B05">
        <w:rPr>
          <w:b/>
          <w:bCs/>
        </w:rPr>
        <w:t>77,4</w:t>
      </w:r>
      <w:r w:rsidRPr="00846B05">
        <w:t xml:space="preserve"> evidencia una </w:t>
      </w:r>
      <w:r w:rsidRPr="00846B05">
        <w:rPr>
          <w:b/>
          <w:bCs/>
        </w:rPr>
        <w:t>evolución positiva y sostenida del Sistema de Control Interno</w:t>
      </w:r>
      <w:r w:rsidRPr="00846B05">
        <w:t>, destacándose:</w:t>
      </w:r>
    </w:p>
    <w:p w14:paraId="17808378" w14:textId="77777777" w:rsidR="00846B05" w:rsidRPr="00846B05" w:rsidRDefault="00846B05" w:rsidP="00846B05">
      <w:pPr>
        <w:pStyle w:val="TableParagraph"/>
        <w:numPr>
          <w:ilvl w:val="0"/>
          <w:numId w:val="23"/>
        </w:numPr>
        <w:spacing w:before="248"/>
        <w:ind w:right="84"/>
        <w:jc w:val="both"/>
      </w:pPr>
      <w:r w:rsidRPr="00846B05">
        <w:t>Mayor apropiación del MECI como herramienta de gestión y no solo de cumplimiento.</w:t>
      </w:r>
    </w:p>
    <w:p w14:paraId="384061DE" w14:textId="77777777" w:rsidR="00846B05" w:rsidRPr="00846B05" w:rsidRDefault="00846B05" w:rsidP="00846B05">
      <w:pPr>
        <w:pStyle w:val="TableParagraph"/>
        <w:numPr>
          <w:ilvl w:val="0"/>
          <w:numId w:val="23"/>
        </w:numPr>
        <w:spacing w:before="248"/>
        <w:ind w:right="84"/>
        <w:jc w:val="both"/>
      </w:pPr>
      <w:r w:rsidRPr="00846B05">
        <w:t>Fortalecimiento del rol estratégico de la Coordinación de Control Interno.</w:t>
      </w:r>
    </w:p>
    <w:p w14:paraId="18F7623C" w14:textId="77777777" w:rsidR="00846B05" w:rsidRPr="00846B05" w:rsidRDefault="00846B05" w:rsidP="00846B05">
      <w:pPr>
        <w:pStyle w:val="TableParagraph"/>
        <w:numPr>
          <w:ilvl w:val="0"/>
          <w:numId w:val="23"/>
        </w:numPr>
        <w:spacing w:before="248"/>
        <w:ind w:right="84"/>
        <w:jc w:val="both"/>
      </w:pPr>
      <w:r w:rsidRPr="00846B05">
        <w:t>Mejor articulación entre planeación, gestión del riesgo, evaluación y mejora continua.</w:t>
      </w:r>
    </w:p>
    <w:p w14:paraId="069AE52F" w14:textId="25F5CB73" w:rsidR="00846B05" w:rsidRPr="00846B05" w:rsidRDefault="00846B05" w:rsidP="00846B05">
      <w:pPr>
        <w:pStyle w:val="TableParagraph"/>
        <w:spacing w:before="248"/>
        <w:ind w:right="84"/>
        <w:jc w:val="both"/>
      </w:pPr>
      <w:r w:rsidRPr="00846B05">
        <w:t xml:space="preserve">El resultado ubica a la E.S.E. en un </w:t>
      </w:r>
      <w:r w:rsidRPr="00846B05">
        <w:rPr>
          <w:b/>
          <w:bCs/>
        </w:rPr>
        <w:t>nivel medio–alto de madurez</w:t>
      </w:r>
      <w:r w:rsidRPr="00846B05">
        <w:t>, acercándose al promedio del grupo par y reduciendo la brecha frente a entidades con mejores prácticas.</w:t>
      </w:r>
    </w:p>
    <w:p w14:paraId="7F56DF49" w14:textId="23D81C6C" w:rsidR="00846B05" w:rsidRPr="00846B05" w:rsidRDefault="00846B05" w:rsidP="00846B05">
      <w:pPr>
        <w:pStyle w:val="TableParagraph"/>
        <w:spacing w:before="248"/>
        <w:ind w:right="84"/>
        <w:jc w:val="both"/>
        <w:rPr>
          <w:b/>
          <w:bCs/>
        </w:rPr>
      </w:pPr>
      <w:r w:rsidRPr="00846B05">
        <w:rPr>
          <w:b/>
          <w:bCs/>
        </w:rPr>
        <w:lastRenderedPageBreak/>
        <w:t>4. Justificación técnica de la diferencia entre vigencias 2024 y 2025</w:t>
      </w:r>
    </w:p>
    <w:p w14:paraId="42C101F5" w14:textId="53CB6AF1" w:rsidR="00846B05" w:rsidRPr="00846B05" w:rsidRDefault="00846B05" w:rsidP="00846B05">
      <w:pPr>
        <w:pStyle w:val="TableParagraph"/>
        <w:spacing w:before="248"/>
        <w:ind w:right="84"/>
        <w:jc w:val="both"/>
      </w:pPr>
      <w:r w:rsidRPr="00846B05">
        <w:t>(+8,2 puntos en la Dimensión Control Interno de Gestión)</w:t>
      </w:r>
    </w:p>
    <w:p w14:paraId="7F8FF539" w14:textId="116AF963" w:rsidR="00846B05" w:rsidRPr="00846B05" w:rsidRDefault="00846B05" w:rsidP="00846B05">
      <w:pPr>
        <w:pStyle w:val="TableParagraph"/>
        <w:spacing w:before="248"/>
        <w:ind w:right="84"/>
        <w:jc w:val="both"/>
      </w:pPr>
      <w:r w:rsidRPr="00846B05">
        <w:t xml:space="preserve">El aumento observado se sustenta en </w:t>
      </w:r>
      <w:r w:rsidRPr="00846B05">
        <w:rPr>
          <w:b/>
          <w:bCs/>
        </w:rPr>
        <w:t>mejoras reales, verificables y coherentes con los componentes del MECI</w:t>
      </w:r>
      <w:r w:rsidRPr="00846B05">
        <w:t>, las cuales se detallan a continuación:</w:t>
      </w:r>
    </w:p>
    <w:p w14:paraId="50BF76A1" w14:textId="4FEDF85F" w:rsidR="00846B05" w:rsidRPr="00846B05" w:rsidRDefault="00846B05" w:rsidP="00846B05">
      <w:pPr>
        <w:pStyle w:val="TableParagraph"/>
        <w:spacing w:before="248"/>
        <w:ind w:right="84"/>
        <w:jc w:val="both"/>
        <w:rPr>
          <w:b/>
          <w:bCs/>
        </w:rPr>
      </w:pPr>
      <w:r w:rsidRPr="00846B05">
        <w:rPr>
          <w:b/>
          <w:bCs/>
        </w:rPr>
        <w:t xml:space="preserve"> 4.1 Ambiente de Control – Mayor fortalecimiento institucional</w:t>
      </w:r>
    </w:p>
    <w:p w14:paraId="5C36EBA8" w14:textId="77777777" w:rsidR="00846B05" w:rsidRPr="00846B05" w:rsidRDefault="00846B05" w:rsidP="00846B05">
      <w:pPr>
        <w:pStyle w:val="TableParagraph"/>
        <w:spacing w:before="248"/>
        <w:ind w:right="84"/>
        <w:jc w:val="both"/>
      </w:pPr>
      <w:r w:rsidRPr="00846B05">
        <w:rPr>
          <w:b/>
          <w:bCs/>
        </w:rPr>
        <w:t>2024</w:t>
      </w:r>
    </w:p>
    <w:p w14:paraId="41FB7ED2" w14:textId="77777777" w:rsidR="00846B05" w:rsidRPr="00846B05" w:rsidRDefault="00846B05" w:rsidP="00846B05">
      <w:pPr>
        <w:pStyle w:val="TableParagraph"/>
        <w:numPr>
          <w:ilvl w:val="0"/>
          <w:numId w:val="24"/>
        </w:numPr>
        <w:spacing w:before="248"/>
        <w:ind w:right="84"/>
        <w:jc w:val="both"/>
      </w:pPr>
      <w:r w:rsidRPr="00846B05">
        <w:t>Políticas y lineamientos de control interno parcialmente socializados.</w:t>
      </w:r>
    </w:p>
    <w:p w14:paraId="683D229E" w14:textId="77777777" w:rsidR="00846B05" w:rsidRPr="00846B05" w:rsidRDefault="00846B05" w:rsidP="00846B05">
      <w:pPr>
        <w:pStyle w:val="TableParagraph"/>
        <w:numPr>
          <w:ilvl w:val="0"/>
          <w:numId w:val="24"/>
        </w:numPr>
        <w:spacing w:before="248"/>
        <w:ind w:right="84"/>
        <w:jc w:val="both"/>
      </w:pPr>
      <w:r w:rsidRPr="00846B05">
        <w:t>Funcionamiento de comités con enfoque más reactivo que preventivo.</w:t>
      </w:r>
    </w:p>
    <w:p w14:paraId="0C65E98F" w14:textId="77777777" w:rsidR="00846B05" w:rsidRPr="00846B05" w:rsidRDefault="00846B05" w:rsidP="00846B05">
      <w:pPr>
        <w:pStyle w:val="TableParagraph"/>
        <w:spacing w:before="248"/>
        <w:ind w:right="84"/>
        <w:jc w:val="both"/>
      </w:pPr>
      <w:r w:rsidRPr="00846B05">
        <w:rPr>
          <w:b/>
          <w:bCs/>
        </w:rPr>
        <w:t>2025</w:t>
      </w:r>
    </w:p>
    <w:p w14:paraId="3CBDC47A" w14:textId="77777777" w:rsidR="00846B05" w:rsidRPr="00846B05" w:rsidRDefault="00846B05" w:rsidP="00846B05">
      <w:pPr>
        <w:pStyle w:val="TableParagraph"/>
        <w:numPr>
          <w:ilvl w:val="0"/>
          <w:numId w:val="25"/>
        </w:numPr>
        <w:spacing w:before="248"/>
        <w:ind w:right="84"/>
        <w:jc w:val="both"/>
      </w:pPr>
      <w:r w:rsidRPr="00846B05">
        <w:t xml:space="preserve">Fortalecimiento del </w:t>
      </w:r>
      <w:r w:rsidRPr="00846B05">
        <w:rPr>
          <w:b/>
          <w:bCs/>
        </w:rPr>
        <w:t>Comité de Coordinación de Control Interno</w:t>
      </w:r>
      <w:r w:rsidRPr="00846B05">
        <w:t>, con seguimiento efectivo a hallazgos y riesgos.</w:t>
      </w:r>
    </w:p>
    <w:p w14:paraId="572758A2" w14:textId="77777777" w:rsidR="00846B05" w:rsidRPr="00846B05" w:rsidRDefault="00846B05" w:rsidP="00846B05">
      <w:pPr>
        <w:pStyle w:val="TableParagraph"/>
        <w:numPr>
          <w:ilvl w:val="0"/>
          <w:numId w:val="25"/>
        </w:numPr>
        <w:spacing w:before="248"/>
        <w:ind w:right="84"/>
        <w:jc w:val="both"/>
      </w:pPr>
      <w:r w:rsidRPr="00846B05">
        <w:t>Mayor compromiso de la alta dirección con el autocontrol.</w:t>
      </w:r>
    </w:p>
    <w:p w14:paraId="21E34918" w14:textId="3B3F4D9D" w:rsidR="00846B05" w:rsidRPr="00846B05" w:rsidRDefault="00846B05" w:rsidP="00846B05">
      <w:pPr>
        <w:pStyle w:val="TableParagraph"/>
        <w:numPr>
          <w:ilvl w:val="0"/>
          <w:numId w:val="25"/>
        </w:numPr>
        <w:spacing w:before="248"/>
        <w:ind w:right="84"/>
        <w:jc w:val="both"/>
      </w:pPr>
      <w:r w:rsidRPr="00846B05">
        <w:t xml:space="preserve">Socialización de responsabilidades de control a líderes de proceso. </w:t>
      </w:r>
      <w:r w:rsidRPr="00846B05">
        <w:rPr>
          <w:b/>
          <w:bCs/>
        </w:rPr>
        <w:t>Impacto en el FURAG:</w:t>
      </w:r>
      <w:r w:rsidRPr="00846B05">
        <w:br/>
        <w:t>Mejora en los ítems relacionados con liderazgo, cultura organizacional y compromiso institucional.</w:t>
      </w:r>
    </w:p>
    <w:p w14:paraId="2777E859" w14:textId="069162DF" w:rsidR="00846B05" w:rsidRPr="00846B05" w:rsidRDefault="00846B05" w:rsidP="00846B05">
      <w:pPr>
        <w:pStyle w:val="TableParagraph"/>
        <w:spacing w:before="248"/>
        <w:ind w:right="84"/>
        <w:jc w:val="both"/>
        <w:rPr>
          <w:b/>
          <w:bCs/>
        </w:rPr>
      </w:pPr>
      <w:r w:rsidRPr="00846B05">
        <w:rPr>
          <w:b/>
          <w:bCs/>
        </w:rPr>
        <w:t xml:space="preserve"> 4.2 Gestión del Riesgo – Avance significativo</w:t>
      </w:r>
    </w:p>
    <w:p w14:paraId="3E1974E0" w14:textId="77777777" w:rsidR="00846B05" w:rsidRPr="00846B05" w:rsidRDefault="00846B05" w:rsidP="00846B05">
      <w:pPr>
        <w:pStyle w:val="TableParagraph"/>
        <w:spacing w:before="248"/>
        <w:ind w:right="84"/>
        <w:jc w:val="both"/>
      </w:pPr>
      <w:r w:rsidRPr="00846B05">
        <w:rPr>
          <w:b/>
          <w:bCs/>
        </w:rPr>
        <w:t>2024</w:t>
      </w:r>
    </w:p>
    <w:p w14:paraId="71A58758" w14:textId="77777777" w:rsidR="00846B05" w:rsidRPr="00846B05" w:rsidRDefault="00846B05" w:rsidP="00846B05">
      <w:pPr>
        <w:pStyle w:val="TableParagraph"/>
        <w:numPr>
          <w:ilvl w:val="0"/>
          <w:numId w:val="26"/>
        </w:numPr>
        <w:spacing w:before="248"/>
        <w:ind w:right="84"/>
        <w:jc w:val="both"/>
      </w:pPr>
      <w:r w:rsidRPr="00846B05">
        <w:t>Mapa de riesgos actualizado de forma general.</w:t>
      </w:r>
    </w:p>
    <w:p w14:paraId="7646303B" w14:textId="77777777" w:rsidR="00846B05" w:rsidRPr="00846B05" w:rsidRDefault="00846B05" w:rsidP="00846B05">
      <w:pPr>
        <w:pStyle w:val="TableParagraph"/>
        <w:numPr>
          <w:ilvl w:val="0"/>
          <w:numId w:val="26"/>
        </w:numPr>
        <w:spacing w:before="248"/>
        <w:ind w:right="84"/>
        <w:jc w:val="both"/>
      </w:pPr>
      <w:r w:rsidRPr="00846B05">
        <w:t>Controles definidos, pero con bajo seguimiento.</w:t>
      </w:r>
    </w:p>
    <w:p w14:paraId="7DB52B9C" w14:textId="77777777" w:rsidR="00846B05" w:rsidRPr="00846B05" w:rsidRDefault="00846B05" w:rsidP="00846B05">
      <w:pPr>
        <w:pStyle w:val="TableParagraph"/>
        <w:spacing w:before="248"/>
        <w:ind w:right="84"/>
        <w:jc w:val="both"/>
      </w:pPr>
      <w:r w:rsidRPr="00846B05">
        <w:rPr>
          <w:b/>
          <w:bCs/>
        </w:rPr>
        <w:t>2025</w:t>
      </w:r>
    </w:p>
    <w:p w14:paraId="2A56FA55" w14:textId="77777777" w:rsidR="00846B05" w:rsidRPr="00846B05" w:rsidRDefault="00846B05" w:rsidP="00846B05">
      <w:pPr>
        <w:pStyle w:val="TableParagraph"/>
        <w:numPr>
          <w:ilvl w:val="0"/>
          <w:numId w:val="27"/>
        </w:numPr>
        <w:spacing w:before="248"/>
        <w:ind w:right="84"/>
        <w:jc w:val="both"/>
      </w:pPr>
      <w:r w:rsidRPr="00846B05">
        <w:t xml:space="preserve">Actualización integral del </w:t>
      </w:r>
      <w:r w:rsidRPr="00846B05">
        <w:rPr>
          <w:b/>
          <w:bCs/>
        </w:rPr>
        <w:t>Mapa de Riesgos Institucional y por procesos</w:t>
      </w:r>
      <w:r w:rsidRPr="00846B05">
        <w:t>.</w:t>
      </w:r>
    </w:p>
    <w:p w14:paraId="65CE4FB1" w14:textId="77777777" w:rsidR="00846B05" w:rsidRPr="00846B05" w:rsidRDefault="00846B05" w:rsidP="00846B05">
      <w:pPr>
        <w:pStyle w:val="TableParagraph"/>
        <w:numPr>
          <w:ilvl w:val="0"/>
          <w:numId w:val="27"/>
        </w:numPr>
        <w:spacing w:before="248"/>
        <w:ind w:right="84"/>
        <w:jc w:val="both"/>
      </w:pPr>
      <w:r w:rsidRPr="00846B05">
        <w:t>Inclusión de riesgos estratégicos, asistenciales, de corrupción, LAFT y operativos.</w:t>
      </w:r>
    </w:p>
    <w:p w14:paraId="36D417B6" w14:textId="77777777" w:rsidR="00846B05" w:rsidRPr="00846B05" w:rsidRDefault="00846B05" w:rsidP="00846B05">
      <w:pPr>
        <w:pStyle w:val="TableParagraph"/>
        <w:numPr>
          <w:ilvl w:val="0"/>
          <w:numId w:val="27"/>
        </w:numPr>
        <w:spacing w:before="248"/>
        <w:ind w:right="84"/>
        <w:jc w:val="both"/>
      </w:pPr>
      <w:r w:rsidRPr="00846B05">
        <w:t>Definición clara de responsables, controles y periodicidad de seguimiento.</w:t>
      </w:r>
    </w:p>
    <w:p w14:paraId="6FF1784E" w14:textId="6F7B3186" w:rsidR="001B6499" w:rsidRDefault="00846B05" w:rsidP="001B6499">
      <w:pPr>
        <w:pStyle w:val="TableParagraph"/>
        <w:numPr>
          <w:ilvl w:val="0"/>
          <w:numId w:val="27"/>
        </w:numPr>
        <w:spacing w:before="248"/>
        <w:ind w:right="84"/>
        <w:jc w:val="both"/>
      </w:pPr>
      <w:r w:rsidRPr="00846B05">
        <w:lastRenderedPageBreak/>
        <w:t>Seguimiento periódico en comités institucionales.</w:t>
      </w:r>
    </w:p>
    <w:p w14:paraId="65657710" w14:textId="77777777" w:rsidR="001B6499" w:rsidRPr="00846B05" w:rsidRDefault="001B6499" w:rsidP="001B6499">
      <w:pPr>
        <w:pStyle w:val="TableParagraph"/>
        <w:spacing w:before="248"/>
        <w:ind w:left="360" w:right="84"/>
        <w:jc w:val="both"/>
      </w:pPr>
    </w:p>
    <w:p w14:paraId="0238C2B7" w14:textId="77777777" w:rsidR="001B6499" w:rsidRDefault="00846B05" w:rsidP="001B6499">
      <w:pPr>
        <w:pStyle w:val="Sinespaciado"/>
        <w:rPr>
          <w:rFonts w:ascii="Tahoma" w:hAnsi="Tahoma" w:cs="Tahoma"/>
          <w:b/>
          <w:bCs/>
        </w:rPr>
      </w:pPr>
      <w:r w:rsidRPr="001B6499">
        <w:rPr>
          <w:rFonts w:ascii="Tahoma" w:hAnsi="Tahoma" w:cs="Tahoma"/>
        </w:rPr>
        <w:t xml:space="preserve"> </w:t>
      </w:r>
      <w:r w:rsidRPr="001B6499">
        <w:rPr>
          <w:rFonts w:ascii="Tahoma" w:hAnsi="Tahoma" w:cs="Tahoma"/>
          <w:b/>
          <w:bCs/>
        </w:rPr>
        <w:t>Impacto</w:t>
      </w:r>
      <w:r w:rsidR="001B6499" w:rsidRPr="001B6499">
        <w:rPr>
          <w:rFonts w:ascii="Tahoma" w:hAnsi="Tahoma" w:cs="Tahoma"/>
          <w:b/>
          <w:bCs/>
        </w:rPr>
        <w:t xml:space="preserve"> </w:t>
      </w:r>
      <w:proofErr w:type="spellStart"/>
      <w:r w:rsidRPr="001B6499">
        <w:rPr>
          <w:rFonts w:ascii="Tahoma" w:hAnsi="Tahoma" w:cs="Tahoma"/>
          <w:b/>
          <w:bCs/>
        </w:rPr>
        <w:t>en</w:t>
      </w:r>
      <w:proofErr w:type="spellEnd"/>
      <w:r w:rsidRPr="001B6499">
        <w:rPr>
          <w:rFonts w:ascii="Tahoma" w:hAnsi="Tahoma" w:cs="Tahoma"/>
          <w:b/>
          <w:bCs/>
        </w:rPr>
        <w:t xml:space="preserve"> </w:t>
      </w:r>
      <w:proofErr w:type="spellStart"/>
      <w:r w:rsidRPr="001B6499">
        <w:rPr>
          <w:rFonts w:ascii="Tahoma" w:hAnsi="Tahoma" w:cs="Tahoma"/>
          <w:b/>
          <w:bCs/>
        </w:rPr>
        <w:t>el</w:t>
      </w:r>
      <w:proofErr w:type="spellEnd"/>
      <w:r w:rsidRPr="001B6499">
        <w:rPr>
          <w:rFonts w:ascii="Tahoma" w:hAnsi="Tahoma" w:cs="Tahoma"/>
          <w:b/>
          <w:bCs/>
        </w:rPr>
        <w:t xml:space="preserve"> FURAG:</w:t>
      </w:r>
    </w:p>
    <w:p w14:paraId="371C6379" w14:textId="00957F14" w:rsidR="00846B05" w:rsidRPr="001B6499" w:rsidRDefault="00846B05" w:rsidP="001B6499">
      <w:pPr>
        <w:pStyle w:val="Sinespaciado"/>
        <w:rPr>
          <w:rFonts w:ascii="Tahoma" w:hAnsi="Tahoma" w:cs="Tahoma"/>
        </w:rPr>
      </w:pPr>
      <w:r w:rsidRPr="001B6499">
        <w:rPr>
          <w:rFonts w:ascii="Tahoma" w:hAnsi="Tahoma" w:cs="Tahoma"/>
        </w:rPr>
        <w:br/>
        <w:t xml:space="preserve">Incremento en los puntajes asociados </w:t>
      </w:r>
      <w:proofErr w:type="gramStart"/>
      <w:r w:rsidRPr="001B6499">
        <w:rPr>
          <w:rFonts w:ascii="Tahoma" w:hAnsi="Tahoma" w:cs="Tahoma"/>
        </w:rPr>
        <w:t>a</w:t>
      </w:r>
      <w:proofErr w:type="gramEnd"/>
      <w:r w:rsidRPr="001B6499">
        <w:rPr>
          <w:rFonts w:ascii="Tahoma" w:hAnsi="Tahoma" w:cs="Tahoma"/>
        </w:rPr>
        <w:t xml:space="preserve"> identificación, análisis, tratamiento y monitoreo del riesgo.</w:t>
      </w:r>
    </w:p>
    <w:p w14:paraId="21FEC810" w14:textId="4F26A053" w:rsidR="00846B05" w:rsidRPr="00846B05" w:rsidRDefault="00846B05" w:rsidP="00846B05">
      <w:pPr>
        <w:pStyle w:val="TableParagraph"/>
        <w:spacing w:before="248"/>
        <w:ind w:right="84"/>
        <w:jc w:val="both"/>
        <w:rPr>
          <w:b/>
          <w:bCs/>
        </w:rPr>
      </w:pPr>
      <w:r w:rsidRPr="00846B05">
        <w:rPr>
          <w:b/>
          <w:bCs/>
        </w:rPr>
        <w:t>4.3 Actividades de Control – Mayor estandarización</w:t>
      </w:r>
    </w:p>
    <w:p w14:paraId="464DDAD7" w14:textId="77777777" w:rsidR="00846B05" w:rsidRPr="00846B05" w:rsidRDefault="00846B05" w:rsidP="00846B05">
      <w:pPr>
        <w:pStyle w:val="TableParagraph"/>
        <w:spacing w:before="248"/>
        <w:ind w:right="84"/>
        <w:jc w:val="both"/>
      </w:pPr>
      <w:r w:rsidRPr="00846B05">
        <w:rPr>
          <w:b/>
          <w:bCs/>
        </w:rPr>
        <w:t>2024</w:t>
      </w:r>
    </w:p>
    <w:p w14:paraId="33D13975" w14:textId="77777777" w:rsidR="00846B05" w:rsidRPr="00846B05" w:rsidRDefault="00846B05" w:rsidP="00846B05">
      <w:pPr>
        <w:pStyle w:val="TableParagraph"/>
        <w:numPr>
          <w:ilvl w:val="0"/>
          <w:numId w:val="28"/>
        </w:numPr>
        <w:spacing w:before="248"/>
        <w:ind w:right="84"/>
        <w:jc w:val="both"/>
      </w:pPr>
      <w:r w:rsidRPr="00846B05">
        <w:t>Procedimientos existentes, pero con desactualización y baja articulación.</w:t>
      </w:r>
    </w:p>
    <w:p w14:paraId="7C95FEB0" w14:textId="77777777" w:rsidR="00846B05" w:rsidRPr="00846B05" w:rsidRDefault="00846B05" w:rsidP="00846B05">
      <w:pPr>
        <w:pStyle w:val="TableParagraph"/>
        <w:numPr>
          <w:ilvl w:val="0"/>
          <w:numId w:val="28"/>
        </w:numPr>
        <w:spacing w:before="248"/>
        <w:ind w:right="84"/>
        <w:jc w:val="both"/>
      </w:pPr>
      <w:r w:rsidRPr="00846B05">
        <w:t>Controles no siempre documentados.</w:t>
      </w:r>
    </w:p>
    <w:p w14:paraId="2158A731" w14:textId="77777777" w:rsidR="00846B05" w:rsidRPr="00846B05" w:rsidRDefault="00846B05" w:rsidP="00846B05">
      <w:pPr>
        <w:pStyle w:val="TableParagraph"/>
        <w:spacing w:before="248"/>
        <w:ind w:right="84"/>
        <w:jc w:val="both"/>
      </w:pPr>
      <w:r w:rsidRPr="00846B05">
        <w:rPr>
          <w:b/>
          <w:bCs/>
        </w:rPr>
        <w:t>2025</w:t>
      </w:r>
    </w:p>
    <w:p w14:paraId="6112C303" w14:textId="77777777" w:rsidR="00846B05" w:rsidRPr="00846B05" w:rsidRDefault="00846B05" w:rsidP="00846B05">
      <w:pPr>
        <w:pStyle w:val="TableParagraph"/>
        <w:numPr>
          <w:ilvl w:val="0"/>
          <w:numId w:val="29"/>
        </w:numPr>
        <w:spacing w:before="248"/>
        <w:ind w:right="84"/>
        <w:jc w:val="both"/>
      </w:pPr>
      <w:r w:rsidRPr="00846B05">
        <w:t>Actualización y estandarización de procesos y procedimientos.</w:t>
      </w:r>
    </w:p>
    <w:p w14:paraId="27D03D7B" w14:textId="77777777" w:rsidR="00846B05" w:rsidRPr="00846B05" w:rsidRDefault="00846B05" w:rsidP="00846B05">
      <w:pPr>
        <w:pStyle w:val="TableParagraph"/>
        <w:numPr>
          <w:ilvl w:val="0"/>
          <w:numId w:val="29"/>
        </w:numPr>
        <w:spacing w:before="248"/>
        <w:ind w:right="84"/>
        <w:jc w:val="both"/>
      </w:pPr>
      <w:r w:rsidRPr="00846B05">
        <w:t>Incorporación de controles preventivos y correctivos.</w:t>
      </w:r>
    </w:p>
    <w:p w14:paraId="7AD36708" w14:textId="77777777" w:rsidR="00846B05" w:rsidRPr="00846B05" w:rsidRDefault="00846B05" w:rsidP="00846B05">
      <w:pPr>
        <w:pStyle w:val="TableParagraph"/>
        <w:numPr>
          <w:ilvl w:val="0"/>
          <w:numId w:val="29"/>
        </w:numPr>
        <w:spacing w:before="248"/>
        <w:ind w:right="84"/>
        <w:jc w:val="both"/>
      </w:pPr>
      <w:r w:rsidRPr="00846B05">
        <w:t>Fortalecimiento de instructivos, formatos y registros.</w:t>
      </w:r>
    </w:p>
    <w:p w14:paraId="1B248576" w14:textId="77777777" w:rsidR="00846B05" w:rsidRDefault="00846B05" w:rsidP="00846B05">
      <w:pPr>
        <w:pStyle w:val="TableParagraph"/>
        <w:numPr>
          <w:ilvl w:val="0"/>
          <w:numId w:val="29"/>
        </w:numPr>
        <w:spacing w:before="248"/>
        <w:ind w:right="84"/>
        <w:jc w:val="both"/>
      </w:pPr>
      <w:r w:rsidRPr="00846B05">
        <w:t>Mayor coherencia entre procesos misionales, estratégicos y de apoyo.</w:t>
      </w:r>
    </w:p>
    <w:p w14:paraId="4BEEA8C0" w14:textId="77777777" w:rsidR="001B6499" w:rsidRPr="00846B05" w:rsidRDefault="001B6499" w:rsidP="001B6499">
      <w:pPr>
        <w:pStyle w:val="TableParagraph"/>
        <w:spacing w:before="248"/>
        <w:ind w:left="720" w:right="84"/>
        <w:jc w:val="both"/>
      </w:pPr>
    </w:p>
    <w:p w14:paraId="5A9E5290" w14:textId="77777777" w:rsidR="001B6499" w:rsidRPr="001B6499" w:rsidRDefault="00846B05" w:rsidP="001B6499">
      <w:pPr>
        <w:rPr>
          <w:rFonts w:ascii="Tahoma" w:eastAsia="Tahoma" w:hAnsi="Tahoma" w:cs="Tahoma"/>
          <w:b/>
          <w:bCs/>
          <w:sz w:val="22"/>
          <w:szCs w:val="22"/>
        </w:rPr>
      </w:pPr>
      <w:r w:rsidRPr="001B6499">
        <w:rPr>
          <w:rFonts w:ascii="Tahoma" w:eastAsia="Tahoma" w:hAnsi="Tahoma" w:cs="Tahoma"/>
          <w:sz w:val="22"/>
          <w:szCs w:val="22"/>
        </w:rPr>
        <w:t xml:space="preserve"> </w:t>
      </w:r>
      <w:r w:rsidRPr="001B6499">
        <w:rPr>
          <w:rFonts w:ascii="Tahoma" w:eastAsia="Tahoma" w:hAnsi="Tahoma" w:cs="Tahoma"/>
          <w:b/>
          <w:bCs/>
          <w:sz w:val="22"/>
          <w:szCs w:val="22"/>
        </w:rPr>
        <w:t>I</w:t>
      </w:r>
      <w:r w:rsidRPr="001B6499">
        <w:rPr>
          <w:rFonts w:ascii="Tahoma" w:hAnsi="Tahoma" w:cs="Tahoma"/>
          <w:sz w:val="22"/>
          <w:szCs w:val="22"/>
        </w:rPr>
        <w:t>mpacto en el FURAG</w:t>
      </w:r>
      <w:r w:rsidRPr="001B6499">
        <w:rPr>
          <w:rFonts w:ascii="Tahoma" w:eastAsia="Tahoma" w:hAnsi="Tahoma" w:cs="Tahoma"/>
          <w:b/>
          <w:bCs/>
          <w:sz w:val="22"/>
          <w:szCs w:val="22"/>
        </w:rPr>
        <w:t>:</w:t>
      </w:r>
    </w:p>
    <w:p w14:paraId="6320B48A" w14:textId="7C8377F8" w:rsidR="00846B05" w:rsidRPr="001B6499" w:rsidRDefault="00846B05" w:rsidP="001B6499">
      <w:pPr>
        <w:rPr>
          <w:rFonts w:ascii="Tahoma" w:eastAsia="Tahoma" w:hAnsi="Tahoma" w:cs="Tahoma"/>
          <w:sz w:val="22"/>
          <w:szCs w:val="22"/>
        </w:rPr>
      </w:pPr>
      <w:r w:rsidRPr="001B6499">
        <w:rPr>
          <w:rFonts w:ascii="Tahoma" w:eastAsia="Tahoma" w:hAnsi="Tahoma" w:cs="Tahoma"/>
          <w:sz w:val="22"/>
          <w:szCs w:val="22"/>
        </w:rPr>
        <w:br/>
        <w:t>Mejora en los ítems relacionados con controles operativos, administrativos y misionales.</w:t>
      </w:r>
    </w:p>
    <w:p w14:paraId="78BB0691" w14:textId="3DAC06F2" w:rsidR="00846B05" w:rsidRPr="00846B05" w:rsidRDefault="00846B05" w:rsidP="001B6499">
      <w:pPr>
        <w:rPr>
          <w:rFonts w:eastAsia="Tahoma"/>
        </w:rPr>
      </w:pPr>
    </w:p>
    <w:p w14:paraId="39F7F338" w14:textId="1CD8E764" w:rsidR="00846B05" w:rsidRPr="00846B05" w:rsidRDefault="00846B05" w:rsidP="00846B05">
      <w:pPr>
        <w:pStyle w:val="TableParagraph"/>
        <w:spacing w:before="248"/>
        <w:ind w:right="84"/>
        <w:jc w:val="both"/>
        <w:rPr>
          <w:b/>
          <w:bCs/>
        </w:rPr>
      </w:pPr>
      <w:r w:rsidRPr="00846B05">
        <w:rPr>
          <w:b/>
          <w:bCs/>
        </w:rPr>
        <w:t xml:space="preserve"> 4.4 Información y Comunicación – Mayor trazabilidad</w:t>
      </w:r>
    </w:p>
    <w:p w14:paraId="783A7FA3" w14:textId="77777777" w:rsidR="00846B05" w:rsidRPr="00846B05" w:rsidRDefault="00846B05" w:rsidP="00846B05">
      <w:pPr>
        <w:pStyle w:val="TableParagraph"/>
        <w:spacing w:before="248"/>
        <w:ind w:right="84"/>
        <w:jc w:val="both"/>
      </w:pPr>
      <w:r w:rsidRPr="00846B05">
        <w:rPr>
          <w:b/>
          <w:bCs/>
        </w:rPr>
        <w:t>2024</w:t>
      </w:r>
    </w:p>
    <w:p w14:paraId="773F7750" w14:textId="77777777" w:rsidR="00846B05" w:rsidRPr="00846B05" w:rsidRDefault="00846B05" w:rsidP="00846B05">
      <w:pPr>
        <w:pStyle w:val="TableParagraph"/>
        <w:numPr>
          <w:ilvl w:val="0"/>
          <w:numId w:val="30"/>
        </w:numPr>
        <w:spacing w:before="248"/>
        <w:ind w:right="84"/>
        <w:jc w:val="both"/>
      </w:pPr>
      <w:r w:rsidRPr="00846B05">
        <w:t>Información disponible, pero con debilidades en análisis y uso.</w:t>
      </w:r>
    </w:p>
    <w:p w14:paraId="58D135DE" w14:textId="77777777" w:rsidR="00846B05" w:rsidRPr="00846B05" w:rsidRDefault="00846B05" w:rsidP="00846B05">
      <w:pPr>
        <w:pStyle w:val="TableParagraph"/>
        <w:numPr>
          <w:ilvl w:val="0"/>
          <w:numId w:val="30"/>
        </w:numPr>
        <w:spacing w:before="248"/>
        <w:ind w:right="84"/>
        <w:jc w:val="both"/>
      </w:pPr>
      <w:r w:rsidRPr="00846B05">
        <w:t>Falencias en calidad de datos.</w:t>
      </w:r>
    </w:p>
    <w:p w14:paraId="6D0C5E96" w14:textId="77777777" w:rsidR="00846B05" w:rsidRPr="00846B05" w:rsidRDefault="00846B05" w:rsidP="00846B05">
      <w:pPr>
        <w:pStyle w:val="TableParagraph"/>
        <w:spacing w:before="248"/>
        <w:ind w:right="84"/>
        <w:jc w:val="both"/>
      </w:pPr>
      <w:r w:rsidRPr="00846B05">
        <w:rPr>
          <w:b/>
          <w:bCs/>
        </w:rPr>
        <w:t>2025</w:t>
      </w:r>
    </w:p>
    <w:p w14:paraId="0E9591A3" w14:textId="77777777" w:rsidR="00846B05" w:rsidRPr="00846B05" w:rsidRDefault="00846B05" w:rsidP="00846B05">
      <w:pPr>
        <w:pStyle w:val="TableParagraph"/>
        <w:numPr>
          <w:ilvl w:val="0"/>
          <w:numId w:val="31"/>
        </w:numPr>
        <w:spacing w:before="248"/>
        <w:ind w:right="84"/>
        <w:jc w:val="both"/>
      </w:pPr>
      <w:r w:rsidRPr="00846B05">
        <w:t>Mejora en la oportunidad y calidad de la información.</w:t>
      </w:r>
    </w:p>
    <w:p w14:paraId="1B00D87C" w14:textId="77777777" w:rsidR="00846B05" w:rsidRPr="00846B05" w:rsidRDefault="00846B05" w:rsidP="00846B05">
      <w:pPr>
        <w:pStyle w:val="TableParagraph"/>
        <w:numPr>
          <w:ilvl w:val="0"/>
          <w:numId w:val="31"/>
        </w:numPr>
        <w:spacing w:before="248"/>
        <w:ind w:right="84"/>
        <w:jc w:val="both"/>
      </w:pPr>
      <w:r w:rsidRPr="00846B05">
        <w:lastRenderedPageBreak/>
        <w:t>Fortalecimiento del proceso de PQRS y transparencia.</w:t>
      </w:r>
    </w:p>
    <w:p w14:paraId="0A7DBE5A" w14:textId="77777777" w:rsidR="00846B05" w:rsidRPr="00846B05" w:rsidRDefault="00846B05" w:rsidP="00846B05">
      <w:pPr>
        <w:pStyle w:val="TableParagraph"/>
        <w:numPr>
          <w:ilvl w:val="0"/>
          <w:numId w:val="31"/>
        </w:numPr>
        <w:spacing w:before="248"/>
        <w:ind w:right="84"/>
        <w:jc w:val="both"/>
      </w:pPr>
      <w:r w:rsidRPr="00846B05">
        <w:t>Uso de reportes, matrices y tableros de control.</w:t>
      </w:r>
    </w:p>
    <w:p w14:paraId="14FC4A1B" w14:textId="77777777" w:rsidR="00846B05" w:rsidRPr="00846B05" w:rsidRDefault="00846B05" w:rsidP="00846B05">
      <w:pPr>
        <w:pStyle w:val="TableParagraph"/>
        <w:numPr>
          <w:ilvl w:val="0"/>
          <w:numId w:val="31"/>
        </w:numPr>
        <w:spacing w:before="248"/>
        <w:ind w:right="84"/>
        <w:jc w:val="both"/>
      </w:pPr>
      <w:r w:rsidRPr="00846B05">
        <w:t>Mejor comunicación interna y socialización de resultados.</w:t>
      </w:r>
    </w:p>
    <w:p w14:paraId="1F81F729" w14:textId="77777777" w:rsidR="00A37B7C" w:rsidRDefault="00A37B7C" w:rsidP="00A37B7C">
      <w:pPr>
        <w:pStyle w:val="Sinespaciado"/>
        <w:rPr>
          <w:rFonts w:ascii="Tahoma" w:hAnsi="Tahoma" w:cs="Tahoma"/>
        </w:rPr>
      </w:pPr>
    </w:p>
    <w:p w14:paraId="3A2C69DC" w14:textId="77777777" w:rsidR="00A37B7C" w:rsidRDefault="00846B05" w:rsidP="00A37B7C">
      <w:pPr>
        <w:pStyle w:val="Sinespaciado"/>
        <w:rPr>
          <w:rFonts w:ascii="Tahoma" w:hAnsi="Tahoma" w:cs="Tahoma"/>
        </w:rPr>
      </w:pPr>
      <w:r w:rsidRPr="00A37B7C">
        <w:rPr>
          <w:rFonts w:ascii="Tahoma" w:hAnsi="Tahoma" w:cs="Tahoma"/>
        </w:rPr>
        <w:t xml:space="preserve">Impacto </w:t>
      </w:r>
      <w:proofErr w:type="spellStart"/>
      <w:r w:rsidRPr="00A37B7C">
        <w:rPr>
          <w:rFonts w:ascii="Tahoma" w:hAnsi="Tahoma" w:cs="Tahoma"/>
        </w:rPr>
        <w:t>en</w:t>
      </w:r>
      <w:proofErr w:type="spellEnd"/>
      <w:r w:rsidRPr="00A37B7C">
        <w:rPr>
          <w:rFonts w:ascii="Tahoma" w:hAnsi="Tahoma" w:cs="Tahoma"/>
        </w:rPr>
        <w:t xml:space="preserve"> </w:t>
      </w:r>
      <w:proofErr w:type="spellStart"/>
      <w:r w:rsidRPr="00A37B7C">
        <w:rPr>
          <w:rFonts w:ascii="Tahoma" w:hAnsi="Tahoma" w:cs="Tahoma"/>
        </w:rPr>
        <w:t>el</w:t>
      </w:r>
      <w:proofErr w:type="spellEnd"/>
      <w:r w:rsidRPr="00A37B7C">
        <w:rPr>
          <w:rFonts w:ascii="Tahoma" w:hAnsi="Tahoma" w:cs="Tahoma"/>
        </w:rPr>
        <w:t xml:space="preserve"> FURAG:</w:t>
      </w:r>
    </w:p>
    <w:p w14:paraId="5FD79856" w14:textId="6B032D9D" w:rsidR="00846B05" w:rsidRPr="00846B05" w:rsidRDefault="00846B05" w:rsidP="00A37B7C">
      <w:pPr>
        <w:pStyle w:val="Sinespaciado"/>
        <w:rPr>
          <w:rFonts w:ascii="Tahoma" w:hAnsi="Tahoma" w:cs="Tahoma"/>
        </w:rPr>
      </w:pPr>
      <w:r w:rsidRPr="00A37B7C">
        <w:rPr>
          <w:rFonts w:ascii="Tahoma" w:hAnsi="Tahoma" w:cs="Tahoma"/>
        </w:rPr>
        <w:br/>
      </w:r>
      <w:bookmarkStart w:id="0" w:name="_Hlk216445907"/>
      <w:proofErr w:type="spellStart"/>
      <w:r w:rsidR="00655E31" w:rsidRPr="00A37B7C">
        <w:rPr>
          <w:rFonts w:ascii="Tahoma" w:hAnsi="Tahoma" w:cs="Tahoma"/>
        </w:rPr>
        <w:t>Incremento</w:t>
      </w:r>
      <w:proofErr w:type="spellEnd"/>
      <w:r w:rsidR="00655E31" w:rsidRPr="00A37B7C">
        <w:rPr>
          <w:rFonts w:ascii="Tahoma" w:hAnsi="Tahoma" w:cs="Tahoma"/>
        </w:rPr>
        <w:t xml:space="preserve"> </w:t>
      </w:r>
      <w:proofErr w:type="spellStart"/>
      <w:r w:rsidR="00655E31" w:rsidRPr="00A37B7C">
        <w:rPr>
          <w:rFonts w:ascii="Tahoma" w:hAnsi="Tahoma" w:cs="Tahoma"/>
        </w:rPr>
        <w:t>en</w:t>
      </w:r>
      <w:proofErr w:type="spellEnd"/>
      <w:r w:rsidR="00655E31" w:rsidRPr="00A37B7C">
        <w:rPr>
          <w:rFonts w:ascii="Tahoma" w:hAnsi="Tahoma" w:cs="Tahoma"/>
        </w:rPr>
        <w:t xml:space="preserve"> </w:t>
      </w:r>
      <w:proofErr w:type="spellStart"/>
      <w:r w:rsidR="00655E31" w:rsidRPr="00A37B7C">
        <w:rPr>
          <w:rFonts w:ascii="Tahoma" w:hAnsi="Tahoma" w:cs="Tahoma"/>
        </w:rPr>
        <w:t>los</w:t>
      </w:r>
      <w:proofErr w:type="spellEnd"/>
      <w:r w:rsidR="00655E31" w:rsidRPr="00A37B7C">
        <w:rPr>
          <w:rFonts w:ascii="Tahoma" w:hAnsi="Tahoma" w:cs="Tahoma"/>
        </w:rPr>
        <w:t xml:space="preserve"> </w:t>
      </w:r>
      <w:proofErr w:type="spellStart"/>
      <w:r w:rsidR="00655E31" w:rsidRPr="00A37B7C">
        <w:rPr>
          <w:rFonts w:ascii="Tahoma" w:hAnsi="Tahoma" w:cs="Tahoma"/>
        </w:rPr>
        <w:t>criterios</w:t>
      </w:r>
      <w:proofErr w:type="spellEnd"/>
      <w:r w:rsidR="00655E31" w:rsidRPr="00A37B7C">
        <w:rPr>
          <w:rFonts w:ascii="Tahoma" w:hAnsi="Tahoma" w:cs="Tahoma"/>
        </w:rPr>
        <w:t xml:space="preserve"> de </w:t>
      </w:r>
      <w:proofErr w:type="spellStart"/>
      <w:r w:rsidR="00655E31" w:rsidRPr="00A37B7C">
        <w:rPr>
          <w:rFonts w:ascii="Tahoma" w:hAnsi="Tahoma" w:cs="Tahoma"/>
        </w:rPr>
        <w:t>transparencia</w:t>
      </w:r>
      <w:proofErr w:type="spellEnd"/>
      <w:r w:rsidR="00655E31" w:rsidRPr="00A37B7C">
        <w:rPr>
          <w:rFonts w:ascii="Tahoma" w:hAnsi="Tahoma" w:cs="Tahoma"/>
        </w:rPr>
        <w:t xml:space="preserve">, </w:t>
      </w:r>
      <w:proofErr w:type="spellStart"/>
      <w:r w:rsidR="00655E31" w:rsidRPr="00A37B7C">
        <w:rPr>
          <w:rFonts w:ascii="Tahoma" w:hAnsi="Tahoma" w:cs="Tahoma"/>
        </w:rPr>
        <w:t>acceso</w:t>
      </w:r>
      <w:proofErr w:type="spellEnd"/>
      <w:r w:rsidR="00655E31" w:rsidRPr="00A37B7C">
        <w:rPr>
          <w:rFonts w:ascii="Tahoma" w:hAnsi="Tahoma" w:cs="Tahoma"/>
        </w:rPr>
        <w:t xml:space="preserve"> a la </w:t>
      </w:r>
      <w:proofErr w:type="spellStart"/>
      <w:r w:rsidR="00655E31" w:rsidRPr="00A37B7C">
        <w:rPr>
          <w:rFonts w:ascii="Tahoma" w:hAnsi="Tahoma" w:cs="Tahoma"/>
        </w:rPr>
        <w:t>información</w:t>
      </w:r>
      <w:proofErr w:type="spellEnd"/>
      <w:r w:rsidR="00655E31" w:rsidRPr="00A37B7C">
        <w:rPr>
          <w:rFonts w:ascii="Tahoma" w:hAnsi="Tahoma" w:cs="Tahoma"/>
        </w:rPr>
        <w:t xml:space="preserve"> y </w:t>
      </w:r>
      <w:proofErr w:type="spellStart"/>
      <w:r w:rsidR="00655E31" w:rsidRPr="00A37B7C">
        <w:rPr>
          <w:rFonts w:ascii="Tahoma" w:hAnsi="Tahoma" w:cs="Tahoma"/>
        </w:rPr>
        <w:t>comunicación</w:t>
      </w:r>
      <w:proofErr w:type="spellEnd"/>
      <w:r w:rsidR="00655E31" w:rsidRPr="00A37B7C">
        <w:rPr>
          <w:rFonts w:ascii="Tahoma" w:hAnsi="Tahoma" w:cs="Tahoma"/>
        </w:rPr>
        <w:t xml:space="preserve"> </w:t>
      </w:r>
      <w:proofErr w:type="spellStart"/>
      <w:r w:rsidR="00655E31" w:rsidRPr="00A37B7C">
        <w:rPr>
          <w:rFonts w:ascii="Tahoma" w:hAnsi="Tahoma" w:cs="Tahoma"/>
        </w:rPr>
        <w:t>efectiva</w:t>
      </w:r>
      <w:proofErr w:type="spellEnd"/>
      <w:r w:rsidR="00655E31" w:rsidRPr="00A37B7C">
        <w:rPr>
          <w:rFonts w:ascii="Tahoma" w:hAnsi="Tahoma" w:cs="Tahoma"/>
        </w:rPr>
        <w:t>.</w:t>
      </w:r>
      <w:r w:rsidR="00655E31">
        <w:rPr>
          <w:rFonts w:ascii="Tahoma" w:hAnsi="Tahoma" w:cs="Tahoma"/>
        </w:rPr>
        <w:t xml:space="preserve">   </w:t>
      </w:r>
    </w:p>
    <w:bookmarkEnd w:id="0"/>
    <w:p w14:paraId="6CFC0065" w14:textId="153B4863" w:rsidR="00846B05" w:rsidRPr="00846B05" w:rsidRDefault="00846B05" w:rsidP="00846B05">
      <w:pPr>
        <w:pStyle w:val="TableParagraph"/>
        <w:spacing w:before="248"/>
        <w:ind w:right="84"/>
        <w:jc w:val="both"/>
        <w:rPr>
          <w:b/>
          <w:bCs/>
        </w:rPr>
      </w:pPr>
      <w:r w:rsidRPr="00846B05">
        <w:rPr>
          <w:b/>
          <w:bCs/>
        </w:rPr>
        <w:t xml:space="preserve"> 4.5 Monitoreo y Evaluación Independiente – Factor clave del incremento</w:t>
      </w:r>
    </w:p>
    <w:p w14:paraId="1AA804C6" w14:textId="77777777" w:rsidR="00846B05" w:rsidRPr="00846B05" w:rsidRDefault="00846B05" w:rsidP="00846B05">
      <w:pPr>
        <w:pStyle w:val="TableParagraph"/>
        <w:spacing w:before="248"/>
        <w:ind w:right="84"/>
        <w:jc w:val="both"/>
      </w:pPr>
      <w:r w:rsidRPr="00846B05">
        <w:rPr>
          <w:b/>
          <w:bCs/>
        </w:rPr>
        <w:t>2024</w:t>
      </w:r>
    </w:p>
    <w:p w14:paraId="3ACBF0EE" w14:textId="77777777" w:rsidR="00846B05" w:rsidRPr="00846B05" w:rsidRDefault="00846B05" w:rsidP="00846B05">
      <w:pPr>
        <w:pStyle w:val="TableParagraph"/>
        <w:numPr>
          <w:ilvl w:val="0"/>
          <w:numId w:val="32"/>
        </w:numPr>
        <w:spacing w:before="248"/>
        <w:ind w:right="84"/>
        <w:jc w:val="both"/>
      </w:pPr>
      <w:r w:rsidRPr="00846B05">
        <w:t>Auditorías internas ejecutadas, pero con seguimiento limitado.</w:t>
      </w:r>
    </w:p>
    <w:p w14:paraId="3CE69B80" w14:textId="77777777" w:rsidR="00846B05" w:rsidRPr="00846B05" w:rsidRDefault="00846B05" w:rsidP="00846B05">
      <w:pPr>
        <w:pStyle w:val="TableParagraph"/>
        <w:numPr>
          <w:ilvl w:val="0"/>
          <w:numId w:val="32"/>
        </w:numPr>
        <w:spacing w:before="248"/>
        <w:ind w:right="84"/>
        <w:jc w:val="both"/>
      </w:pPr>
      <w:r w:rsidRPr="00846B05">
        <w:t>Planes de mejoramiento con rezagos.</w:t>
      </w:r>
    </w:p>
    <w:p w14:paraId="75E84A73" w14:textId="77777777" w:rsidR="00846B05" w:rsidRPr="00846B05" w:rsidRDefault="00846B05" w:rsidP="00846B05">
      <w:pPr>
        <w:pStyle w:val="TableParagraph"/>
        <w:spacing w:before="248"/>
        <w:ind w:right="84"/>
        <w:jc w:val="both"/>
      </w:pPr>
      <w:r w:rsidRPr="00846B05">
        <w:rPr>
          <w:b/>
          <w:bCs/>
        </w:rPr>
        <w:t>2025</w:t>
      </w:r>
    </w:p>
    <w:p w14:paraId="6B7D0C85" w14:textId="77777777" w:rsidR="00846B05" w:rsidRPr="00846B05" w:rsidRDefault="00846B05" w:rsidP="00846B05">
      <w:pPr>
        <w:pStyle w:val="TableParagraph"/>
        <w:numPr>
          <w:ilvl w:val="0"/>
          <w:numId w:val="33"/>
        </w:numPr>
        <w:spacing w:before="248"/>
        <w:ind w:right="84"/>
        <w:jc w:val="both"/>
      </w:pPr>
      <w:r w:rsidRPr="00846B05">
        <w:t xml:space="preserve">Ejecución estructurada del </w:t>
      </w:r>
      <w:r w:rsidRPr="00846B05">
        <w:rPr>
          <w:b/>
          <w:bCs/>
        </w:rPr>
        <w:t>Plan Anual de Auditorías Internas (PAAI)</w:t>
      </w:r>
      <w:r w:rsidRPr="00846B05">
        <w:t>.</w:t>
      </w:r>
    </w:p>
    <w:p w14:paraId="37563624" w14:textId="77777777" w:rsidR="00846B05" w:rsidRPr="00846B05" w:rsidRDefault="00846B05" w:rsidP="00846B05">
      <w:pPr>
        <w:pStyle w:val="TableParagraph"/>
        <w:numPr>
          <w:ilvl w:val="0"/>
          <w:numId w:val="33"/>
        </w:numPr>
        <w:spacing w:before="248"/>
        <w:ind w:right="84"/>
        <w:jc w:val="both"/>
      </w:pPr>
      <w:r w:rsidRPr="00846B05">
        <w:t>Seguimiento sistemático a planes de mejoramiento:</w:t>
      </w:r>
    </w:p>
    <w:p w14:paraId="0167C53E" w14:textId="77777777" w:rsidR="00846B05" w:rsidRPr="00846B05" w:rsidRDefault="00846B05" w:rsidP="00846B05">
      <w:pPr>
        <w:pStyle w:val="TableParagraph"/>
        <w:numPr>
          <w:ilvl w:val="1"/>
          <w:numId w:val="33"/>
        </w:numPr>
        <w:spacing w:before="248"/>
        <w:ind w:right="84"/>
        <w:jc w:val="both"/>
      </w:pPr>
      <w:r w:rsidRPr="00846B05">
        <w:t>Internos.</w:t>
      </w:r>
    </w:p>
    <w:p w14:paraId="05069DEA" w14:textId="77777777" w:rsidR="00846B05" w:rsidRPr="00846B05" w:rsidRDefault="00846B05" w:rsidP="00846B05">
      <w:pPr>
        <w:pStyle w:val="TableParagraph"/>
        <w:numPr>
          <w:ilvl w:val="1"/>
          <w:numId w:val="33"/>
        </w:numPr>
        <w:spacing w:before="248"/>
        <w:ind w:right="84"/>
        <w:jc w:val="both"/>
      </w:pPr>
      <w:r w:rsidRPr="00846B05">
        <w:t>Contraloría.</w:t>
      </w:r>
    </w:p>
    <w:p w14:paraId="69E4CAEF" w14:textId="77777777" w:rsidR="00846B05" w:rsidRPr="00846B05" w:rsidRDefault="00846B05" w:rsidP="00846B05">
      <w:pPr>
        <w:pStyle w:val="TableParagraph"/>
        <w:numPr>
          <w:ilvl w:val="1"/>
          <w:numId w:val="33"/>
        </w:numPr>
        <w:spacing w:before="248"/>
        <w:ind w:right="84"/>
        <w:jc w:val="both"/>
      </w:pPr>
      <w:r w:rsidRPr="00846B05">
        <w:t>Otros entes de control.</w:t>
      </w:r>
    </w:p>
    <w:p w14:paraId="094A2F9E" w14:textId="77777777" w:rsidR="00846B05" w:rsidRPr="00846B05" w:rsidRDefault="00846B05" w:rsidP="00846B05">
      <w:pPr>
        <w:pStyle w:val="TableParagraph"/>
        <w:numPr>
          <w:ilvl w:val="0"/>
          <w:numId w:val="33"/>
        </w:numPr>
        <w:spacing w:before="248"/>
        <w:ind w:right="84"/>
        <w:jc w:val="both"/>
      </w:pPr>
      <w:r w:rsidRPr="00846B05">
        <w:t>Mayor uso de informes de Control Interno para la toma de decisiones.</w:t>
      </w:r>
    </w:p>
    <w:p w14:paraId="7E116D21" w14:textId="77777777" w:rsidR="00846B05" w:rsidRPr="00846B05" w:rsidRDefault="00846B05" w:rsidP="00846B05">
      <w:pPr>
        <w:pStyle w:val="TableParagraph"/>
        <w:numPr>
          <w:ilvl w:val="0"/>
          <w:numId w:val="33"/>
        </w:numPr>
        <w:spacing w:before="248"/>
        <w:ind w:right="84"/>
        <w:jc w:val="both"/>
      </w:pPr>
      <w:r w:rsidRPr="00846B05">
        <w:t>Evaluación independiente del MIPG y MECI conforme al Decreto 648 de 2017.</w:t>
      </w:r>
    </w:p>
    <w:p w14:paraId="0167A40A" w14:textId="77777777" w:rsidR="00913892" w:rsidRDefault="00913892" w:rsidP="00A37B7C">
      <w:pPr>
        <w:pStyle w:val="Sinespaciado"/>
        <w:rPr>
          <w:rFonts w:ascii="Tahoma" w:hAnsi="Tahoma" w:cs="Tahoma"/>
        </w:rPr>
      </w:pPr>
    </w:p>
    <w:p w14:paraId="16235776" w14:textId="5AC98E5E" w:rsidR="00A37B7C" w:rsidRDefault="00846B05" w:rsidP="00A37B7C">
      <w:pPr>
        <w:pStyle w:val="Sinespaciado"/>
        <w:rPr>
          <w:rFonts w:ascii="Tahoma" w:hAnsi="Tahoma" w:cs="Tahoma"/>
        </w:rPr>
      </w:pPr>
      <w:r w:rsidRPr="00A37B7C">
        <w:rPr>
          <w:rFonts w:ascii="Tahoma" w:hAnsi="Tahoma" w:cs="Tahoma"/>
        </w:rPr>
        <w:t xml:space="preserve"> </w:t>
      </w:r>
      <w:r w:rsidRPr="00A37B7C">
        <w:rPr>
          <w:rFonts w:ascii="Tahoma" w:hAnsi="Tahoma" w:cs="Tahoma"/>
          <w:b/>
          <w:bCs/>
        </w:rPr>
        <w:t>Impacto en el FURAG:</w:t>
      </w:r>
      <w:r w:rsidRPr="00A37B7C">
        <w:rPr>
          <w:rFonts w:ascii="Tahoma" w:hAnsi="Tahoma" w:cs="Tahoma"/>
        </w:rPr>
        <w:br/>
      </w:r>
    </w:p>
    <w:p w14:paraId="7D9475AF" w14:textId="6804AB0F" w:rsidR="00846B05" w:rsidRPr="00A37B7C" w:rsidRDefault="00846B05" w:rsidP="00A37B7C">
      <w:pPr>
        <w:pStyle w:val="Sinespaciado"/>
        <w:rPr>
          <w:rFonts w:ascii="Tahoma" w:hAnsi="Tahoma" w:cs="Tahoma"/>
        </w:rPr>
      </w:pPr>
      <w:r w:rsidRPr="00A37B7C">
        <w:rPr>
          <w:rFonts w:ascii="Tahoma" w:hAnsi="Tahoma" w:cs="Tahoma"/>
        </w:rPr>
        <w:t xml:space="preserve">Este </w:t>
      </w:r>
      <w:proofErr w:type="spellStart"/>
      <w:r w:rsidRPr="00A37B7C">
        <w:rPr>
          <w:rFonts w:ascii="Tahoma" w:hAnsi="Tahoma" w:cs="Tahoma"/>
        </w:rPr>
        <w:t>componente</w:t>
      </w:r>
      <w:proofErr w:type="spellEnd"/>
      <w:r w:rsidRPr="00A37B7C">
        <w:rPr>
          <w:rFonts w:ascii="Tahoma" w:hAnsi="Tahoma" w:cs="Tahoma"/>
        </w:rPr>
        <w:t xml:space="preserve"> </w:t>
      </w:r>
      <w:proofErr w:type="spellStart"/>
      <w:r w:rsidRPr="00A37B7C">
        <w:rPr>
          <w:rFonts w:ascii="Tahoma" w:hAnsi="Tahoma" w:cs="Tahoma"/>
        </w:rPr>
        <w:t>explica</w:t>
      </w:r>
      <w:proofErr w:type="spellEnd"/>
      <w:r w:rsidRPr="00A37B7C">
        <w:rPr>
          <w:rFonts w:ascii="Tahoma" w:hAnsi="Tahoma" w:cs="Tahoma"/>
        </w:rPr>
        <w:t xml:space="preserve"> gran </w:t>
      </w:r>
      <w:proofErr w:type="spellStart"/>
      <w:r w:rsidRPr="00A37B7C">
        <w:rPr>
          <w:rFonts w:ascii="Tahoma" w:hAnsi="Tahoma" w:cs="Tahoma"/>
        </w:rPr>
        <w:t>parte</w:t>
      </w:r>
      <w:proofErr w:type="spellEnd"/>
      <w:r w:rsidRPr="00A37B7C">
        <w:rPr>
          <w:rFonts w:ascii="Tahoma" w:hAnsi="Tahoma" w:cs="Tahoma"/>
        </w:rPr>
        <w:t xml:space="preserve"> del aumento del puntaje entre 2024 y 2025.</w:t>
      </w:r>
    </w:p>
    <w:p w14:paraId="4373AD97" w14:textId="3178B59D" w:rsidR="00846B05" w:rsidRPr="00A37B7C" w:rsidRDefault="00846B05" w:rsidP="00A37B7C">
      <w:pPr>
        <w:pStyle w:val="Sinespaciado"/>
        <w:rPr>
          <w:rFonts w:ascii="Tahoma" w:hAnsi="Tahoma" w:cs="Tahoma"/>
        </w:rPr>
      </w:pPr>
    </w:p>
    <w:p w14:paraId="47D74CCD" w14:textId="77777777" w:rsidR="00846B05" w:rsidRPr="00846B05" w:rsidRDefault="00846B05" w:rsidP="00846B05">
      <w:pPr>
        <w:pStyle w:val="TableParagraph"/>
        <w:spacing w:before="248"/>
        <w:ind w:right="84"/>
        <w:jc w:val="both"/>
        <w:rPr>
          <w:b/>
          <w:bCs/>
        </w:rPr>
      </w:pPr>
      <w:r w:rsidRPr="00846B05">
        <w:rPr>
          <w:b/>
          <w:bCs/>
        </w:rPr>
        <w:t>5. Conclusión general del análisis comparativo</w:t>
      </w:r>
    </w:p>
    <w:p w14:paraId="29AA313C" w14:textId="77777777" w:rsidR="00846B05" w:rsidRPr="00846B05" w:rsidRDefault="00846B05" w:rsidP="00846B05">
      <w:pPr>
        <w:pStyle w:val="TableParagraph"/>
        <w:spacing w:before="248"/>
        <w:ind w:right="84"/>
        <w:jc w:val="both"/>
      </w:pPr>
      <w:r w:rsidRPr="00846B05">
        <w:t xml:space="preserve">La diferencia entre las vigencias </w:t>
      </w:r>
      <w:r w:rsidRPr="00846B05">
        <w:rPr>
          <w:b/>
          <w:bCs/>
        </w:rPr>
        <w:t>2024 (69,2)</w:t>
      </w:r>
      <w:r w:rsidRPr="00846B05">
        <w:t xml:space="preserve"> y </w:t>
      </w:r>
      <w:r w:rsidRPr="00846B05">
        <w:rPr>
          <w:b/>
          <w:bCs/>
        </w:rPr>
        <w:t>2025 (77,4)</w:t>
      </w:r>
      <w:r w:rsidRPr="00846B05">
        <w:t xml:space="preserve"> en la dimensión de </w:t>
      </w:r>
      <w:r w:rsidRPr="00846B05">
        <w:rPr>
          <w:b/>
          <w:bCs/>
        </w:rPr>
        <w:t xml:space="preserve">Control </w:t>
      </w:r>
      <w:r w:rsidRPr="00846B05">
        <w:rPr>
          <w:b/>
          <w:bCs/>
        </w:rPr>
        <w:lastRenderedPageBreak/>
        <w:t>Interno de Gestión (MECI)</w:t>
      </w:r>
      <w:r w:rsidRPr="00846B05">
        <w:t xml:space="preserve"> se explica por:</w:t>
      </w:r>
    </w:p>
    <w:p w14:paraId="2A9A8A95" w14:textId="77777777" w:rsidR="00A748E8" w:rsidRDefault="00846B05" w:rsidP="00A748E8">
      <w:pPr>
        <w:pStyle w:val="TableParagraph"/>
        <w:numPr>
          <w:ilvl w:val="0"/>
          <w:numId w:val="35"/>
        </w:numPr>
        <w:spacing w:before="248"/>
        <w:ind w:right="84"/>
        <w:jc w:val="both"/>
      </w:pPr>
      <w:r w:rsidRPr="00846B05">
        <w:t xml:space="preserve">El paso de un sistema </w:t>
      </w:r>
      <w:r w:rsidRPr="00846B05">
        <w:rPr>
          <w:b/>
          <w:bCs/>
        </w:rPr>
        <w:t>formal</w:t>
      </w:r>
      <w:r w:rsidRPr="00846B05">
        <w:t xml:space="preserve"> a un sistema </w:t>
      </w:r>
      <w:r w:rsidRPr="00846B05">
        <w:rPr>
          <w:b/>
          <w:bCs/>
        </w:rPr>
        <w:t>funcional y articulado</w:t>
      </w:r>
      <w:r w:rsidRPr="00846B05">
        <w:t>.</w:t>
      </w:r>
    </w:p>
    <w:p w14:paraId="680549EB" w14:textId="05C32F01" w:rsidR="00A748E8" w:rsidRDefault="00846B05" w:rsidP="00A748E8">
      <w:pPr>
        <w:pStyle w:val="TableParagraph"/>
        <w:numPr>
          <w:ilvl w:val="0"/>
          <w:numId w:val="35"/>
        </w:numPr>
        <w:spacing w:before="248"/>
        <w:ind w:right="84"/>
        <w:jc w:val="both"/>
      </w:pPr>
      <w:r w:rsidRPr="00846B05">
        <w:t>Mayor liderazgo y protagonismo del Control Interno.</w:t>
      </w:r>
    </w:p>
    <w:p w14:paraId="073A6EB4" w14:textId="77777777" w:rsidR="00A748E8" w:rsidRDefault="00846B05" w:rsidP="00A748E8">
      <w:pPr>
        <w:pStyle w:val="TableParagraph"/>
        <w:numPr>
          <w:ilvl w:val="0"/>
          <w:numId w:val="35"/>
        </w:numPr>
        <w:spacing w:before="248"/>
        <w:ind w:right="84"/>
        <w:jc w:val="both"/>
      </w:pPr>
      <w:r w:rsidRPr="00846B05">
        <w:t xml:space="preserve"> Consolidación de la gestión del riesgo como eje transversal.</w:t>
      </w:r>
    </w:p>
    <w:p w14:paraId="4EE65859" w14:textId="77777777" w:rsidR="00A748E8" w:rsidRDefault="00A748E8" w:rsidP="00A748E8">
      <w:pPr>
        <w:pStyle w:val="TableParagraph"/>
        <w:numPr>
          <w:ilvl w:val="0"/>
          <w:numId w:val="35"/>
        </w:numPr>
        <w:spacing w:before="248"/>
        <w:ind w:right="84"/>
        <w:jc w:val="both"/>
      </w:pPr>
      <w:r>
        <w:t xml:space="preserve"> </w:t>
      </w:r>
      <w:r w:rsidR="00846B05" w:rsidRPr="00846B05">
        <w:t>Uso efectivo de auditorías y planes de mejoramiento.</w:t>
      </w:r>
    </w:p>
    <w:p w14:paraId="012F9FB2" w14:textId="6C4386AB" w:rsidR="00846B05" w:rsidRPr="00846B05" w:rsidRDefault="00846B05" w:rsidP="00A748E8">
      <w:pPr>
        <w:pStyle w:val="TableParagraph"/>
        <w:numPr>
          <w:ilvl w:val="0"/>
          <w:numId w:val="35"/>
        </w:numPr>
        <w:spacing w:before="248"/>
        <w:ind w:right="84"/>
        <w:jc w:val="both"/>
      </w:pPr>
      <w:r w:rsidRPr="00846B05">
        <w:t>Fortalecimiento de la cultura del autocontrol.</w:t>
      </w:r>
    </w:p>
    <w:p w14:paraId="1B0E1B6D" w14:textId="77777777" w:rsidR="00846B05" w:rsidRPr="00846B05" w:rsidRDefault="00846B05" w:rsidP="00846B05">
      <w:pPr>
        <w:pStyle w:val="TableParagraph"/>
        <w:spacing w:before="248"/>
        <w:ind w:right="84"/>
        <w:jc w:val="both"/>
      </w:pPr>
      <w:r w:rsidRPr="00846B05">
        <w:t xml:space="preserve">En conclusión, el resultado FURAG 2025 refleja un </w:t>
      </w:r>
      <w:r w:rsidRPr="00846B05">
        <w:rPr>
          <w:b/>
          <w:bCs/>
        </w:rPr>
        <w:t>avance real y sostenible</w:t>
      </w:r>
      <w:r w:rsidRPr="00846B05">
        <w:t xml:space="preserve"> en la madurez del Sistema de Control Interno de la E.S.E. Santiago de Tunja, evidenciando una gestión alineada al MIPG y con capacidad de mejora continua.</w:t>
      </w:r>
    </w:p>
    <w:p w14:paraId="5AC28421" w14:textId="4E6D8853" w:rsidR="00846B05" w:rsidRDefault="00D13226" w:rsidP="00756EAF">
      <w:pPr>
        <w:pStyle w:val="TableParagraph"/>
        <w:spacing w:before="248"/>
        <w:ind w:right="84"/>
        <w:jc w:val="both"/>
        <w:rPr>
          <w:sz w:val="24"/>
          <w:lang w:val="es-CO"/>
        </w:rPr>
      </w:pPr>
      <w:r>
        <w:rPr>
          <w:sz w:val="24"/>
          <w:lang w:val="es-CO"/>
        </w:rPr>
        <w:t>Gracias,</w:t>
      </w:r>
    </w:p>
    <w:p w14:paraId="21380590" w14:textId="694C4E26" w:rsidR="00D13226" w:rsidRDefault="008C4209" w:rsidP="00756EAF">
      <w:pPr>
        <w:pStyle w:val="TableParagraph"/>
        <w:spacing w:before="248"/>
        <w:ind w:right="84"/>
        <w:jc w:val="both"/>
        <w:rPr>
          <w:sz w:val="24"/>
          <w:lang w:val="es-CO"/>
        </w:rPr>
      </w:pPr>
      <w:r w:rsidRPr="007A0EC0">
        <w:rPr>
          <w:rFonts w:ascii="Arial" w:hAnsi="Arial" w:cs="Arial"/>
          <w:noProof/>
          <w:sz w:val="20"/>
          <w:szCs w:val="20"/>
        </w:rPr>
        <w:drawing>
          <wp:inline distT="0" distB="0" distL="0" distR="0" wp14:anchorId="2F5EEB9C" wp14:editId="67819769">
            <wp:extent cx="1845892" cy="554990"/>
            <wp:effectExtent l="0" t="0" r="0" b="3810"/>
            <wp:docPr id="211625703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6257032" name=""/>
                    <pic:cNvPicPr/>
                  </pic:nvPicPr>
                  <pic:blipFill>
                    <a:blip r:embed="rId10"/>
                    <a:stretch>
                      <a:fillRect/>
                    </a:stretch>
                  </pic:blipFill>
                  <pic:spPr>
                    <a:xfrm>
                      <a:off x="0" y="0"/>
                      <a:ext cx="1900198" cy="571318"/>
                    </a:xfrm>
                    <a:prstGeom prst="rect">
                      <a:avLst/>
                    </a:prstGeom>
                  </pic:spPr>
                </pic:pic>
              </a:graphicData>
            </a:graphic>
          </wp:inline>
        </w:drawing>
      </w:r>
    </w:p>
    <w:p w14:paraId="3C5C6672" w14:textId="0F734743" w:rsidR="00D13226" w:rsidRPr="00D13226" w:rsidRDefault="00D13226" w:rsidP="00D13226">
      <w:pPr>
        <w:pStyle w:val="Sinespaciado"/>
        <w:rPr>
          <w:rFonts w:ascii="Tahoma" w:hAnsi="Tahoma" w:cs="Tahoma"/>
        </w:rPr>
      </w:pPr>
      <w:r w:rsidRPr="00D13226">
        <w:rPr>
          <w:rFonts w:ascii="Tahoma" w:hAnsi="Tahoma" w:cs="Tahoma"/>
        </w:rPr>
        <w:t xml:space="preserve">Angela </w:t>
      </w:r>
      <w:proofErr w:type="spellStart"/>
      <w:r w:rsidRPr="00D13226">
        <w:rPr>
          <w:rFonts w:ascii="Tahoma" w:hAnsi="Tahoma" w:cs="Tahoma"/>
        </w:rPr>
        <w:t>Herlendy</w:t>
      </w:r>
      <w:proofErr w:type="spellEnd"/>
      <w:r w:rsidRPr="00D13226">
        <w:rPr>
          <w:rFonts w:ascii="Tahoma" w:hAnsi="Tahoma" w:cs="Tahoma"/>
        </w:rPr>
        <w:t xml:space="preserve"> Pacheco </w:t>
      </w:r>
      <w:proofErr w:type="spellStart"/>
      <w:r w:rsidRPr="00D13226">
        <w:rPr>
          <w:rFonts w:ascii="Tahoma" w:hAnsi="Tahoma" w:cs="Tahoma"/>
        </w:rPr>
        <w:t>Rincòn</w:t>
      </w:r>
      <w:proofErr w:type="spellEnd"/>
    </w:p>
    <w:p w14:paraId="06ACFFA6" w14:textId="06E9ADFB" w:rsidR="00D13226" w:rsidRPr="00D13226" w:rsidRDefault="00D13226" w:rsidP="00D13226">
      <w:pPr>
        <w:pStyle w:val="Sinespaciado"/>
        <w:rPr>
          <w:rFonts w:ascii="Tahoma" w:hAnsi="Tahoma" w:cs="Tahoma"/>
        </w:rPr>
      </w:pPr>
      <w:r w:rsidRPr="00D13226">
        <w:rPr>
          <w:rFonts w:ascii="Tahoma" w:hAnsi="Tahoma" w:cs="Tahoma"/>
        </w:rPr>
        <w:t>Control Interno.</w:t>
      </w:r>
    </w:p>
    <w:p w14:paraId="1BD7DCDF" w14:textId="77777777" w:rsidR="00EE4D43" w:rsidRPr="00D13226" w:rsidRDefault="00EE4D43" w:rsidP="00D13226">
      <w:pPr>
        <w:pStyle w:val="Sinespaciado"/>
        <w:rPr>
          <w:rFonts w:ascii="Tahoma" w:hAnsi="Tahoma" w:cs="Tahoma"/>
        </w:rPr>
      </w:pPr>
    </w:p>
    <w:sectPr w:rsidR="00EE4D43" w:rsidRPr="00D13226" w:rsidSect="00F9254E">
      <w:headerReference w:type="default" r:id="rId11"/>
      <w:footerReference w:type="default" r:id="rId12"/>
      <w:pgSz w:w="12240" w:h="15840"/>
      <w:pgMar w:top="2835"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33BC40" w14:textId="77777777" w:rsidR="00A14BB7" w:rsidRDefault="00A14BB7" w:rsidP="00AE057F">
      <w:r>
        <w:separator/>
      </w:r>
    </w:p>
  </w:endnote>
  <w:endnote w:type="continuationSeparator" w:id="0">
    <w:p w14:paraId="3B06DF77" w14:textId="77777777" w:rsidR="00A14BB7" w:rsidRDefault="00A14BB7" w:rsidP="00AE05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5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Jost">
    <w:altName w:val="Times New Roman"/>
    <w:charset w:val="00"/>
    <w:family w:val="auto"/>
    <w:pitch w:val="variable"/>
    <w:sig w:usb0="A00002EF" w:usb1="0000205B" w:usb2="0000001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0AC4D" w14:textId="38383540" w:rsidR="00635FC9" w:rsidRDefault="00180A7A" w:rsidP="00AE057F">
    <w:pPr>
      <w:pStyle w:val="Piedepgina"/>
      <w:rPr>
        <w:rFonts w:ascii="Jost" w:hAnsi="Jost"/>
        <w:noProof/>
        <w:color w:val="1F5672" w:themeColor="text2"/>
      </w:rPr>
    </w:pPr>
    <w:r>
      <w:rPr>
        <w:rFonts w:ascii="Jost" w:hAnsi="Jost"/>
        <w:noProof/>
        <w:color w:val="1F5672" w:themeColor="text2"/>
        <w:lang w:eastAsia="es-CO"/>
      </w:rPr>
      <mc:AlternateContent>
        <mc:Choice Requires="wps">
          <w:drawing>
            <wp:anchor distT="0" distB="0" distL="114300" distR="114300" simplePos="0" relativeHeight="251660288" behindDoc="0" locked="0" layoutInCell="1" allowOverlap="1" wp14:anchorId="05BEB374" wp14:editId="40A7C9E1">
              <wp:simplePos x="0" y="0"/>
              <wp:positionH relativeFrom="page">
                <wp:posOffset>15903</wp:posOffset>
              </wp:positionH>
              <wp:positionV relativeFrom="paragraph">
                <wp:posOffset>-121616</wp:posOffset>
              </wp:positionV>
              <wp:extent cx="7734852" cy="393700"/>
              <wp:effectExtent l="0" t="0" r="0" b="6350"/>
              <wp:wrapNone/>
              <wp:docPr id="2057614294" name="Cuadro de texto 3"/>
              <wp:cNvGraphicFramePr/>
              <a:graphic xmlns:a="http://schemas.openxmlformats.org/drawingml/2006/main">
                <a:graphicData uri="http://schemas.microsoft.com/office/word/2010/wordprocessingShape">
                  <wps:wsp>
                    <wps:cNvSpPr txBox="1"/>
                    <wps:spPr>
                      <a:xfrm>
                        <a:off x="0" y="0"/>
                        <a:ext cx="7734852" cy="393700"/>
                      </a:xfrm>
                      <a:prstGeom prst="rect">
                        <a:avLst/>
                      </a:prstGeom>
                      <a:noFill/>
                      <a:ln w="6350">
                        <a:noFill/>
                      </a:ln>
                    </wps:spPr>
                    <wps:txbx>
                      <w:txbxContent>
                        <w:p w14:paraId="4850EE66" w14:textId="69D7F7E4" w:rsidR="00635FC9" w:rsidRPr="00635FC9" w:rsidRDefault="00635FC9" w:rsidP="00635FC9">
                          <w:pPr>
                            <w:jc w:val="center"/>
                            <w:rPr>
                              <w:rFonts w:ascii="Tahoma" w:hAnsi="Tahoma" w:cs="Tahoma"/>
                              <w:b/>
                              <w:bCs/>
                              <w:color w:val="D9EBF4" w:themeColor="background2"/>
                              <w:sz w:val="22"/>
                              <w:szCs w:val="18"/>
                              <w:lang w:val="es-ES"/>
                            </w:rPr>
                          </w:pPr>
                          <w:r w:rsidRPr="00635FC9">
                            <w:rPr>
                              <w:rFonts w:ascii="Tahoma" w:hAnsi="Tahoma" w:cs="Tahoma"/>
                              <w:b/>
                              <w:bCs/>
                              <w:color w:val="D9EBF4" w:themeColor="background2"/>
                              <w:sz w:val="22"/>
                              <w:szCs w:val="18"/>
                              <w:lang w:val="es-ES"/>
                            </w:rPr>
                            <w:t>Conectamos con una Atención Humanizada y Segura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BEB374" id="_x0000_t202" coordsize="21600,21600" o:spt="202" path="m,l,21600r21600,l21600,xe">
              <v:stroke joinstyle="miter"/>
              <v:path gradientshapeok="t" o:connecttype="rect"/>
            </v:shapetype>
            <v:shape id="Cuadro de texto 3" o:spid="_x0000_s1026" type="#_x0000_t202" style="position:absolute;margin-left:1.25pt;margin-top:-9.6pt;width:609.05pt;height:31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" filled="f" stroked="f" strokeweight=".5pt">
              <v:textbox>
                <w:txbxContent>
                  <w:p w14:paraId="4850EE66" w14:textId="69D7F7E4" w:rsidR="00635FC9" w:rsidRPr="00635FC9" w:rsidRDefault="00635FC9" w:rsidP="00635FC9">
                    <w:pPr>
                      <w:jc w:val="center"/>
                      <w:rPr>
                        <w:rFonts w:ascii="Tahoma" w:hAnsi="Tahoma" w:cs="Tahoma"/>
                        <w:b/>
                        <w:bCs/>
                        <w:color w:val="D9EBF4" w:themeColor="background2"/>
                        <w:sz w:val="22"/>
                        <w:szCs w:val="18"/>
                        <w:lang w:val="es-ES"/>
                      </w:rPr>
                    </w:pPr>
                    <w:r w:rsidRPr="00635FC9">
                      <w:rPr>
                        <w:rFonts w:ascii="Tahoma" w:hAnsi="Tahoma" w:cs="Tahoma"/>
                        <w:b/>
                        <w:bCs/>
                        <w:color w:val="D9EBF4" w:themeColor="background2"/>
                        <w:sz w:val="22"/>
                        <w:szCs w:val="18"/>
                        <w:lang w:val="es-ES"/>
                      </w:rPr>
                      <w:t>Conectamos con una Atención Humanizada y Segura</w:t>
                    </w:r>
                  </w:p>
                </w:txbxContent>
              </v:textbox>
              <w10:wrap anchorx="page"/>
            </v:shape>
          </w:pict>
        </mc:Fallback>
      </mc:AlternateContent>
    </w:r>
    <w:r>
      <w:rPr>
        <w:rFonts w:ascii="Jost" w:hAnsi="Jost"/>
        <w:noProof/>
        <w:color w:val="1F5672" w:themeColor="text2"/>
        <w:lang w:eastAsia="es-CO"/>
      </w:rPr>
      <mc:AlternateContent>
        <mc:Choice Requires="wps">
          <w:drawing>
            <wp:anchor distT="0" distB="0" distL="114300" distR="114300" simplePos="0" relativeHeight="251659264" behindDoc="0" locked="0" layoutInCell="1" allowOverlap="1" wp14:anchorId="0BB0E848" wp14:editId="5DF504AE">
              <wp:simplePos x="0" y="0"/>
              <wp:positionH relativeFrom="page">
                <wp:posOffset>15903</wp:posOffset>
              </wp:positionH>
              <wp:positionV relativeFrom="paragraph">
                <wp:posOffset>-97762</wp:posOffset>
              </wp:positionV>
              <wp:extent cx="7378810" cy="218440"/>
              <wp:effectExtent l="0" t="0" r="0" b="0"/>
              <wp:wrapNone/>
              <wp:docPr id="1293139958" name="Rectángulo 2"/>
              <wp:cNvGraphicFramePr/>
              <a:graphic xmlns:a="http://schemas.openxmlformats.org/drawingml/2006/main">
                <a:graphicData uri="http://schemas.microsoft.com/office/word/2010/wordprocessingShape">
                  <wps:wsp>
                    <wps:cNvSpPr/>
                    <wps:spPr>
                      <a:xfrm>
                        <a:off x="0" y="0"/>
                        <a:ext cx="7378810" cy="218440"/>
                      </a:xfrm>
                      <a:prstGeom prst="rect">
                        <a:avLst/>
                      </a:prstGeom>
                      <a:solidFill>
                        <a:schemeClr val="accent3">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EA490CC" w14:textId="74726625" w:rsidR="00635FC9" w:rsidRPr="00635FC9" w:rsidRDefault="00635FC9" w:rsidP="00635FC9">
                          <w:pPr>
                            <w:jc w:val="center"/>
                            <w:rPr>
                              <w:rFonts w:ascii="Tahoma" w:hAnsi="Tahoma" w:cs="Tahoma"/>
                              <w:b/>
                              <w:bCs/>
                              <w:color w:val="D9EBF4" w:themeColor="background2"/>
                              <w:sz w:val="14"/>
                              <w:szCs w:val="10"/>
                              <w:lang w:val="es-E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B0E848" id="Rectángulo 2" o:spid="_x0000_s1027" style="position:absolute;margin-left:1.25pt;margin-top:-7.7pt;width:581pt;height:17.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" fillcolor="#0688af [2406]" stroked="f" strokeweight="1pt">
              <v:textbox>
                <w:txbxContent>
                  <w:p w14:paraId="5EA490CC" w14:textId="74726625" w:rsidR="00635FC9" w:rsidRPr="00635FC9" w:rsidRDefault="00635FC9" w:rsidP="00635FC9">
                    <w:pPr>
                      <w:jc w:val="center"/>
                      <w:rPr>
                        <w:rFonts w:ascii="Tahoma" w:hAnsi="Tahoma" w:cs="Tahoma"/>
                        <w:b/>
                        <w:bCs/>
                        <w:color w:val="D9EBF4" w:themeColor="background2"/>
                        <w:sz w:val="14"/>
                        <w:szCs w:val="10"/>
                        <w:lang w:val="es-ES"/>
                      </w:rPr>
                    </w:pPr>
                  </w:p>
                </w:txbxContent>
              </v:textbox>
              <w10:wrap anchorx="page"/>
            </v:rect>
          </w:pict>
        </mc:Fallback>
      </mc:AlternateContent>
    </w:r>
  </w:p>
  <w:p w14:paraId="7D2825AC" w14:textId="3A69CB05" w:rsidR="002B0E1D" w:rsidRDefault="002B0E1D" w:rsidP="00AE057F">
    <w:pPr>
      <w:pStyle w:val="Piedepgina"/>
      <w:rPr>
        <w:rFonts w:ascii="Jost" w:hAnsi="Jost"/>
        <w:color w:val="1F5672" w:themeColor="text2"/>
      </w:rPr>
    </w:pPr>
    <w:r>
      <w:rPr>
        <w:rFonts w:ascii="Jost" w:hAnsi="Jost"/>
        <w:color w:val="1F5672" w:themeColor="text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2CC0FA" w14:textId="77777777" w:rsidR="00A14BB7" w:rsidRDefault="00A14BB7" w:rsidP="00AE057F">
      <w:r>
        <w:separator/>
      </w:r>
    </w:p>
  </w:footnote>
  <w:footnote w:type="continuationSeparator" w:id="0">
    <w:p w14:paraId="0D0708D7" w14:textId="77777777" w:rsidR="00A14BB7" w:rsidRDefault="00A14BB7" w:rsidP="00AE05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EF98E" w14:textId="4F81AD12" w:rsidR="00AE057F" w:rsidRDefault="0090309A" w:rsidP="0018730E">
    <w:pPr>
      <w:pStyle w:val="Encabezado"/>
      <w:tabs>
        <w:tab w:val="clear" w:pos="4419"/>
        <w:tab w:val="clear" w:pos="8838"/>
        <w:tab w:val="left" w:pos="1488"/>
      </w:tabs>
    </w:pPr>
    <w:r>
      <w:rPr>
        <w:noProof/>
        <w:lang w:eastAsia="es-CO"/>
      </w:rPr>
      <w:drawing>
        <wp:anchor distT="0" distB="0" distL="114300" distR="114300" simplePos="0" relativeHeight="251658240" behindDoc="1" locked="0" layoutInCell="1" allowOverlap="1" wp14:anchorId="5B5F5CDF" wp14:editId="04981FD8">
          <wp:simplePos x="0" y="0"/>
          <wp:positionH relativeFrom="page">
            <wp:posOffset>-29770</wp:posOffset>
          </wp:positionH>
          <wp:positionV relativeFrom="paragraph">
            <wp:posOffset>-450215</wp:posOffset>
          </wp:positionV>
          <wp:extent cx="7782799" cy="10071858"/>
          <wp:effectExtent l="0" t="0" r="8890" b="5715"/>
          <wp:wrapNone/>
          <wp:docPr id="114035245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0352456" name="Imagen 1"/>
                  <pic:cNvPicPr/>
                </pic:nvPicPr>
                <pic:blipFill>
                  <a:blip r:embed="rId1">
                    <a:extLst>
                      <a:ext uri="{28A0092B-C50C-407E-A947-70E740481C1C}">
                        <a14:useLocalDpi xmlns:a14="http://schemas.microsoft.com/office/drawing/2010/main" val="0"/>
                      </a:ext>
                    </a:extLst>
                  </a:blip>
                  <a:stretch>
                    <a:fillRect/>
                  </a:stretch>
                </pic:blipFill>
                <pic:spPr>
                  <a:xfrm>
                    <a:off x="0" y="0"/>
                    <a:ext cx="7782799" cy="10071858"/>
                  </a:xfrm>
                  <a:prstGeom prst="rect">
                    <a:avLst/>
                  </a:prstGeom>
                </pic:spPr>
              </pic:pic>
            </a:graphicData>
          </a:graphic>
          <wp14:sizeRelH relativeFrom="page">
            <wp14:pctWidth>0</wp14:pctWidth>
          </wp14:sizeRelH>
          <wp14:sizeRelV relativeFrom="page">
            <wp14:pctHeight>0</wp14:pctHeight>
          </wp14:sizeRelV>
        </wp:anchor>
      </w:drawing>
    </w:r>
    <w:r w:rsidR="0018730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3743E5C"/>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0D21D69"/>
    <w:multiLevelType w:val="multilevel"/>
    <w:tmpl w:val="EE84E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CA3FB9"/>
    <w:multiLevelType w:val="multilevel"/>
    <w:tmpl w:val="9EC80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D105A0"/>
    <w:multiLevelType w:val="multilevel"/>
    <w:tmpl w:val="ECFE7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E33B28"/>
    <w:multiLevelType w:val="multilevel"/>
    <w:tmpl w:val="53F2C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D87517"/>
    <w:multiLevelType w:val="multilevel"/>
    <w:tmpl w:val="A85C7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250652"/>
    <w:multiLevelType w:val="multilevel"/>
    <w:tmpl w:val="4DB0C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5E1D64"/>
    <w:multiLevelType w:val="multilevel"/>
    <w:tmpl w:val="6A825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DF1FAA"/>
    <w:multiLevelType w:val="multilevel"/>
    <w:tmpl w:val="D5D6ED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5E3A56"/>
    <w:multiLevelType w:val="multilevel"/>
    <w:tmpl w:val="6F081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4C75FA"/>
    <w:multiLevelType w:val="multilevel"/>
    <w:tmpl w:val="6E10C5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AA52663"/>
    <w:multiLevelType w:val="hybridMultilevel"/>
    <w:tmpl w:val="E0FCA58A"/>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2" w15:restartNumberingAfterBreak="0">
    <w:nsid w:val="2DFE1DBC"/>
    <w:multiLevelType w:val="multilevel"/>
    <w:tmpl w:val="E0CE0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442775"/>
    <w:multiLevelType w:val="hybridMultilevel"/>
    <w:tmpl w:val="AF2CD94C"/>
    <w:lvl w:ilvl="0" w:tplc="0C0A0001">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 w15:restartNumberingAfterBreak="0">
    <w:nsid w:val="2F6874CD"/>
    <w:multiLevelType w:val="multilevel"/>
    <w:tmpl w:val="814CA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02C4A69"/>
    <w:multiLevelType w:val="multilevel"/>
    <w:tmpl w:val="AAC60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32845D4"/>
    <w:multiLevelType w:val="hybridMultilevel"/>
    <w:tmpl w:val="50A067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36E47FDD"/>
    <w:multiLevelType w:val="multilevel"/>
    <w:tmpl w:val="15AE0F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15A5673"/>
    <w:multiLevelType w:val="multilevel"/>
    <w:tmpl w:val="91481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86501A4"/>
    <w:multiLevelType w:val="multilevel"/>
    <w:tmpl w:val="461E6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86B7B4B"/>
    <w:multiLevelType w:val="hybridMultilevel"/>
    <w:tmpl w:val="944CCDB4"/>
    <w:lvl w:ilvl="0" w:tplc="0C0A000F">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21" w15:restartNumberingAfterBreak="0">
    <w:nsid w:val="486C16AE"/>
    <w:multiLevelType w:val="hybridMultilevel"/>
    <w:tmpl w:val="87E2680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49FC1195"/>
    <w:multiLevelType w:val="multilevel"/>
    <w:tmpl w:val="803E6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AD7703D"/>
    <w:multiLevelType w:val="hybridMultilevel"/>
    <w:tmpl w:val="4816DE62"/>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4" w15:restartNumberingAfterBreak="0">
    <w:nsid w:val="4C872E22"/>
    <w:multiLevelType w:val="hybridMultilevel"/>
    <w:tmpl w:val="1F12633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547376D5"/>
    <w:multiLevelType w:val="hybridMultilevel"/>
    <w:tmpl w:val="415A924C"/>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6" w15:restartNumberingAfterBreak="0">
    <w:nsid w:val="5DC470EA"/>
    <w:multiLevelType w:val="hybridMultilevel"/>
    <w:tmpl w:val="3ED024EC"/>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7" w15:restartNumberingAfterBreak="0">
    <w:nsid w:val="62E2348D"/>
    <w:multiLevelType w:val="hybridMultilevel"/>
    <w:tmpl w:val="A9CA227E"/>
    <w:lvl w:ilvl="0" w:tplc="0C0A000F">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28" w15:restartNumberingAfterBreak="0">
    <w:nsid w:val="64571AB3"/>
    <w:multiLevelType w:val="multilevel"/>
    <w:tmpl w:val="FC2A7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6FD345C"/>
    <w:multiLevelType w:val="multilevel"/>
    <w:tmpl w:val="E3FE4C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AB86132"/>
    <w:multiLevelType w:val="multilevel"/>
    <w:tmpl w:val="309AD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DEE1CB8"/>
    <w:multiLevelType w:val="multilevel"/>
    <w:tmpl w:val="FD0EC7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E533D57"/>
    <w:multiLevelType w:val="multilevel"/>
    <w:tmpl w:val="F77E5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9446AFA"/>
    <w:multiLevelType w:val="multilevel"/>
    <w:tmpl w:val="AF747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CC60B96"/>
    <w:multiLevelType w:val="hybridMultilevel"/>
    <w:tmpl w:val="3E8252D2"/>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16cid:durableId="135949187">
    <w:abstractNumId w:val="0"/>
  </w:num>
  <w:num w:numId="2" w16cid:durableId="694041235">
    <w:abstractNumId w:val="32"/>
  </w:num>
  <w:num w:numId="3" w16cid:durableId="1324774631">
    <w:abstractNumId w:val="7"/>
  </w:num>
  <w:num w:numId="4" w16cid:durableId="1713339351">
    <w:abstractNumId w:val="14"/>
  </w:num>
  <w:num w:numId="5" w16cid:durableId="1194613134">
    <w:abstractNumId w:val="19"/>
  </w:num>
  <w:num w:numId="6" w16cid:durableId="966663059">
    <w:abstractNumId w:val="31"/>
  </w:num>
  <w:num w:numId="7" w16cid:durableId="1231621916">
    <w:abstractNumId w:val="3"/>
  </w:num>
  <w:num w:numId="8" w16cid:durableId="1054549591">
    <w:abstractNumId w:val="29"/>
  </w:num>
  <w:num w:numId="9" w16cid:durableId="780340561">
    <w:abstractNumId w:val="4"/>
  </w:num>
  <w:num w:numId="10" w16cid:durableId="1249464472">
    <w:abstractNumId w:val="9"/>
  </w:num>
  <w:num w:numId="11" w16cid:durableId="1600214232">
    <w:abstractNumId w:val="10"/>
  </w:num>
  <w:num w:numId="12" w16cid:durableId="930161010">
    <w:abstractNumId w:val="15"/>
  </w:num>
  <w:num w:numId="13" w16cid:durableId="1259558722">
    <w:abstractNumId w:val="24"/>
  </w:num>
  <w:num w:numId="14" w16cid:durableId="1128013878">
    <w:abstractNumId w:val="26"/>
  </w:num>
  <w:num w:numId="15" w16cid:durableId="350029859">
    <w:abstractNumId w:val="27"/>
  </w:num>
  <w:num w:numId="16" w16cid:durableId="1603609450">
    <w:abstractNumId w:val="23"/>
  </w:num>
  <w:num w:numId="17" w16cid:durableId="32924772">
    <w:abstractNumId w:val="11"/>
  </w:num>
  <w:num w:numId="18" w16cid:durableId="2125533870">
    <w:abstractNumId w:val="25"/>
  </w:num>
  <w:num w:numId="19" w16cid:durableId="1319381393">
    <w:abstractNumId w:val="20"/>
  </w:num>
  <w:num w:numId="20" w16cid:durableId="2056856937">
    <w:abstractNumId w:val="13"/>
  </w:num>
  <w:num w:numId="21" w16cid:durableId="2142919605">
    <w:abstractNumId w:val="34"/>
  </w:num>
  <w:num w:numId="22" w16cid:durableId="1192182242">
    <w:abstractNumId w:val="8"/>
  </w:num>
  <w:num w:numId="23" w16cid:durableId="833841429">
    <w:abstractNumId w:val="22"/>
  </w:num>
  <w:num w:numId="24" w16cid:durableId="591544826">
    <w:abstractNumId w:val="6"/>
  </w:num>
  <w:num w:numId="25" w16cid:durableId="1449617792">
    <w:abstractNumId w:val="28"/>
  </w:num>
  <w:num w:numId="26" w16cid:durableId="963579585">
    <w:abstractNumId w:val="5"/>
  </w:num>
  <w:num w:numId="27" w16cid:durableId="195974931">
    <w:abstractNumId w:val="18"/>
  </w:num>
  <w:num w:numId="28" w16cid:durableId="76875549">
    <w:abstractNumId w:val="12"/>
  </w:num>
  <w:num w:numId="29" w16cid:durableId="581765136">
    <w:abstractNumId w:val="1"/>
  </w:num>
  <w:num w:numId="30" w16cid:durableId="661813001">
    <w:abstractNumId w:val="2"/>
  </w:num>
  <w:num w:numId="31" w16cid:durableId="1521241002">
    <w:abstractNumId w:val="30"/>
  </w:num>
  <w:num w:numId="32" w16cid:durableId="813330230">
    <w:abstractNumId w:val="33"/>
  </w:num>
  <w:num w:numId="33" w16cid:durableId="1830363193">
    <w:abstractNumId w:val="17"/>
  </w:num>
  <w:num w:numId="34" w16cid:durableId="629357743">
    <w:abstractNumId w:val="16"/>
  </w:num>
  <w:num w:numId="35" w16cid:durableId="1649625751">
    <w:abstractNumId w:val="2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057F"/>
    <w:rsid w:val="00012E66"/>
    <w:rsid w:val="00014664"/>
    <w:rsid w:val="0001486B"/>
    <w:rsid w:val="00015274"/>
    <w:rsid w:val="00016BA6"/>
    <w:rsid w:val="00037708"/>
    <w:rsid w:val="0004530A"/>
    <w:rsid w:val="00071A1B"/>
    <w:rsid w:val="00087500"/>
    <w:rsid w:val="000C05DB"/>
    <w:rsid w:val="000E2FCD"/>
    <w:rsid w:val="000F2AE7"/>
    <w:rsid w:val="000F38B7"/>
    <w:rsid w:val="000F6AAA"/>
    <w:rsid w:val="000F6DCB"/>
    <w:rsid w:val="001052CC"/>
    <w:rsid w:val="001156C6"/>
    <w:rsid w:val="00151CBA"/>
    <w:rsid w:val="00154433"/>
    <w:rsid w:val="0015722A"/>
    <w:rsid w:val="00176851"/>
    <w:rsid w:val="00180A7A"/>
    <w:rsid w:val="00181F7E"/>
    <w:rsid w:val="0018730E"/>
    <w:rsid w:val="001926D7"/>
    <w:rsid w:val="001A0E48"/>
    <w:rsid w:val="001A5BFA"/>
    <w:rsid w:val="001B5F3F"/>
    <w:rsid w:val="001B6499"/>
    <w:rsid w:val="001B7760"/>
    <w:rsid w:val="001C44CC"/>
    <w:rsid w:val="001D4909"/>
    <w:rsid w:val="001E7917"/>
    <w:rsid w:val="001E7D1D"/>
    <w:rsid w:val="002014D0"/>
    <w:rsid w:val="00206C8A"/>
    <w:rsid w:val="00206EA0"/>
    <w:rsid w:val="002137EB"/>
    <w:rsid w:val="002246C0"/>
    <w:rsid w:val="00250668"/>
    <w:rsid w:val="002551A7"/>
    <w:rsid w:val="002835D5"/>
    <w:rsid w:val="00286ADB"/>
    <w:rsid w:val="0029587D"/>
    <w:rsid w:val="002A7BBC"/>
    <w:rsid w:val="002B0E1D"/>
    <w:rsid w:val="002C40D1"/>
    <w:rsid w:val="002D0F9E"/>
    <w:rsid w:val="002D3F65"/>
    <w:rsid w:val="002E0072"/>
    <w:rsid w:val="002E2B9B"/>
    <w:rsid w:val="002F5AC3"/>
    <w:rsid w:val="0031331A"/>
    <w:rsid w:val="0031407F"/>
    <w:rsid w:val="00315DE2"/>
    <w:rsid w:val="00343AAE"/>
    <w:rsid w:val="00356703"/>
    <w:rsid w:val="003A26B0"/>
    <w:rsid w:val="003A3DB3"/>
    <w:rsid w:val="003B2398"/>
    <w:rsid w:val="003B48A5"/>
    <w:rsid w:val="003B6CEC"/>
    <w:rsid w:val="003B7E37"/>
    <w:rsid w:val="003D1117"/>
    <w:rsid w:val="003D6AE8"/>
    <w:rsid w:val="003E1A72"/>
    <w:rsid w:val="00411EF9"/>
    <w:rsid w:val="004137ED"/>
    <w:rsid w:val="00415315"/>
    <w:rsid w:val="00442FC3"/>
    <w:rsid w:val="004448D0"/>
    <w:rsid w:val="00461262"/>
    <w:rsid w:val="004A45B4"/>
    <w:rsid w:val="004A5394"/>
    <w:rsid w:val="004B7A17"/>
    <w:rsid w:val="004C382E"/>
    <w:rsid w:val="004E5E60"/>
    <w:rsid w:val="004F0F38"/>
    <w:rsid w:val="004F543C"/>
    <w:rsid w:val="00510259"/>
    <w:rsid w:val="00511296"/>
    <w:rsid w:val="00523616"/>
    <w:rsid w:val="0052404E"/>
    <w:rsid w:val="00533B1D"/>
    <w:rsid w:val="005433C5"/>
    <w:rsid w:val="00564206"/>
    <w:rsid w:val="00577286"/>
    <w:rsid w:val="00594B44"/>
    <w:rsid w:val="005A3EC5"/>
    <w:rsid w:val="005A77F0"/>
    <w:rsid w:val="005B23BF"/>
    <w:rsid w:val="005F5A53"/>
    <w:rsid w:val="005F6BF4"/>
    <w:rsid w:val="006054E4"/>
    <w:rsid w:val="00613011"/>
    <w:rsid w:val="006132BC"/>
    <w:rsid w:val="00613E69"/>
    <w:rsid w:val="00617B31"/>
    <w:rsid w:val="00620FB7"/>
    <w:rsid w:val="00623786"/>
    <w:rsid w:val="0062479E"/>
    <w:rsid w:val="006257C9"/>
    <w:rsid w:val="00630683"/>
    <w:rsid w:val="00630A10"/>
    <w:rsid w:val="006336D2"/>
    <w:rsid w:val="00635FC9"/>
    <w:rsid w:val="006448B9"/>
    <w:rsid w:val="0065407C"/>
    <w:rsid w:val="00655E31"/>
    <w:rsid w:val="00674815"/>
    <w:rsid w:val="0067699E"/>
    <w:rsid w:val="00684A43"/>
    <w:rsid w:val="0068685A"/>
    <w:rsid w:val="0068706B"/>
    <w:rsid w:val="006A2CF2"/>
    <w:rsid w:val="006A3299"/>
    <w:rsid w:val="006A47F1"/>
    <w:rsid w:val="006A5637"/>
    <w:rsid w:val="006E278C"/>
    <w:rsid w:val="006F0D4C"/>
    <w:rsid w:val="006F2EE6"/>
    <w:rsid w:val="006F61ED"/>
    <w:rsid w:val="006F6202"/>
    <w:rsid w:val="006F6BFC"/>
    <w:rsid w:val="00703F81"/>
    <w:rsid w:val="007053E5"/>
    <w:rsid w:val="007078D1"/>
    <w:rsid w:val="00713BC6"/>
    <w:rsid w:val="00714CFD"/>
    <w:rsid w:val="00714F8C"/>
    <w:rsid w:val="0071752D"/>
    <w:rsid w:val="007521EC"/>
    <w:rsid w:val="00756EAF"/>
    <w:rsid w:val="007765E4"/>
    <w:rsid w:val="0077686B"/>
    <w:rsid w:val="00795671"/>
    <w:rsid w:val="007B0D4D"/>
    <w:rsid w:val="007C02DF"/>
    <w:rsid w:val="007E3CBB"/>
    <w:rsid w:val="007E44C6"/>
    <w:rsid w:val="007E5644"/>
    <w:rsid w:val="007F32F3"/>
    <w:rsid w:val="007F44FD"/>
    <w:rsid w:val="0080293D"/>
    <w:rsid w:val="0080393E"/>
    <w:rsid w:val="00830A59"/>
    <w:rsid w:val="0084082D"/>
    <w:rsid w:val="00841676"/>
    <w:rsid w:val="0084461C"/>
    <w:rsid w:val="00846B05"/>
    <w:rsid w:val="0085594E"/>
    <w:rsid w:val="00861890"/>
    <w:rsid w:val="008735D6"/>
    <w:rsid w:val="008750B2"/>
    <w:rsid w:val="008762BC"/>
    <w:rsid w:val="008968D8"/>
    <w:rsid w:val="00896DF6"/>
    <w:rsid w:val="008A38FA"/>
    <w:rsid w:val="008A4705"/>
    <w:rsid w:val="008B65FA"/>
    <w:rsid w:val="008C4209"/>
    <w:rsid w:val="008C6833"/>
    <w:rsid w:val="008F468F"/>
    <w:rsid w:val="0090309A"/>
    <w:rsid w:val="00913892"/>
    <w:rsid w:val="00914AF3"/>
    <w:rsid w:val="00915A6C"/>
    <w:rsid w:val="009225F4"/>
    <w:rsid w:val="00947025"/>
    <w:rsid w:val="00956F3C"/>
    <w:rsid w:val="009645EB"/>
    <w:rsid w:val="00972E30"/>
    <w:rsid w:val="00974E16"/>
    <w:rsid w:val="009865E7"/>
    <w:rsid w:val="009A4560"/>
    <w:rsid w:val="009B5751"/>
    <w:rsid w:val="009C36E2"/>
    <w:rsid w:val="009D093A"/>
    <w:rsid w:val="009D7DC9"/>
    <w:rsid w:val="009E6C23"/>
    <w:rsid w:val="00A030AD"/>
    <w:rsid w:val="00A14BB7"/>
    <w:rsid w:val="00A16F0D"/>
    <w:rsid w:val="00A2270F"/>
    <w:rsid w:val="00A240F9"/>
    <w:rsid w:val="00A372E1"/>
    <w:rsid w:val="00A37B7C"/>
    <w:rsid w:val="00A741A3"/>
    <w:rsid w:val="00A748E8"/>
    <w:rsid w:val="00AA1AB4"/>
    <w:rsid w:val="00AA60E7"/>
    <w:rsid w:val="00AA6AC4"/>
    <w:rsid w:val="00AB0683"/>
    <w:rsid w:val="00AC0BCC"/>
    <w:rsid w:val="00AE057F"/>
    <w:rsid w:val="00AE2228"/>
    <w:rsid w:val="00AE4BEF"/>
    <w:rsid w:val="00AF2909"/>
    <w:rsid w:val="00AF58CD"/>
    <w:rsid w:val="00AF6AA5"/>
    <w:rsid w:val="00AF721B"/>
    <w:rsid w:val="00B17080"/>
    <w:rsid w:val="00B2602B"/>
    <w:rsid w:val="00B26A24"/>
    <w:rsid w:val="00B343E5"/>
    <w:rsid w:val="00B570D2"/>
    <w:rsid w:val="00B774FA"/>
    <w:rsid w:val="00B81F7F"/>
    <w:rsid w:val="00B9031F"/>
    <w:rsid w:val="00B96568"/>
    <w:rsid w:val="00BB381B"/>
    <w:rsid w:val="00BB5C48"/>
    <w:rsid w:val="00BD45E8"/>
    <w:rsid w:val="00BD60F9"/>
    <w:rsid w:val="00BF21B0"/>
    <w:rsid w:val="00BF359E"/>
    <w:rsid w:val="00C00E98"/>
    <w:rsid w:val="00C07077"/>
    <w:rsid w:val="00C11CF2"/>
    <w:rsid w:val="00C20C53"/>
    <w:rsid w:val="00C32344"/>
    <w:rsid w:val="00C508D5"/>
    <w:rsid w:val="00CA0CFE"/>
    <w:rsid w:val="00CB076E"/>
    <w:rsid w:val="00CB0C84"/>
    <w:rsid w:val="00CB62BC"/>
    <w:rsid w:val="00CC7C96"/>
    <w:rsid w:val="00CD65C7"/>
    <w:rsid w:val="00CE1633"/>
    <w:rsid w:val="00CF02B4"/>
    <w:rsid w:val="00D03E1C"/>
    <w:rsid w:val="00D03E39"/>
    <w:rsid w:val="00D13226"/>
    <w:rsid w:val="00D14181"/>
    <w:rsid w:val="00D30ED2"/>
    <w:rsid w:val="00D5126D"/>
    <w:rsid w:val="00D52F08"/>
    <w:rsid w:val="00D61CF0"/>
    <w:rsid w:val="00D63465"/>
    <w:rsid w:val="00D72527"/>
    <w:rsid w:val="00D82C3F"/>
    <w:rsid w:val="00D92951"/>
    <w:rsid w:val="00DB501C"/>
    <w:rsid w:val="00DB682D"/>
    <w:rsid w:val="00DB702F"/>
    <w:rsid w:val="00DD76E2"/>
    <w:rsid w:val="00DF15CB"/>
    <w:rsid w:val="00DF320C"/>
    <w:rsid w:val="00DF60E1"/>
    <w:rsid w:val="00E039AC"/>
    <w:rsid w:val="00E04959"/>
    <w:rsid w:val="00E32FF9"/>
    <w:rsid w:val="00E3386E"/>
    <w:rsid w:val="00E501A7"/>
    <w:rsid w:val="00E51678"/>
    <w:rsid w:val="00E567E4"/>
    <w:rsid w:val="00E63333"/>
    <w:rsid w:val="00E86D43"/>
    <w:rsid w:val="00E95A96"/>
    <w:rsid w:val="00EA5196"/>
    <w:rsid w:val="00EA7947"/>
    <w:rsid w:val="00EA7A71"/>
    <w:rsid w:val="00EB44C4"/>
    <w:rsid w:val="00EC15E4"/>
    <w:rsid w:val="00EC4129"/>
    <w:rsid w:val="00EE4D43"/>
    <w:rsid w:val="00EE7A6F"/>
    <w:rsid w:val="00F109AB"/>
    <w:rsid w:val="00F219EB"/>
    <w:rsid w:val="00F225F3"/>
    <w:rsid w:val="00F25EF6"/>
    <w:rsid w:val="00F35415"/>
    <w:rsid w:val="00F41362"/>
    <w:rsid w:val="00F416B2"/>
    <w:rsid w:val="00F41ED6"/>
    <w:rsid w:val="00F41FD6"/>
    <w:rsid w:val="00F426B4"/>
    <w:rsid w:val="00F55625"/>
    <w:rsid w:val="00F63311"/>
    <w:rsid w:val="00F637EA"/>
    <w:rsid w:val="00F643D9"/>
    <w:rsid w:val="00F7009D"/>
    <w:rsid w:val="00F75C8D"/>
    <w:rsid w:val="00F81F05"/>
    <w:rsid w:val="00F9254E"/>
    <w:rsid w:val="00FA0747"/>
    <w:rsid w:val="00FB296E"/>
    <w:rsid w:val="00FC2A32"/>
    <w:rsid w:val="00FD4195"/>
    <w:rsid w:val="00FF2E43"/>
    <w:rsid w:val="00FF3C5C"/>
    <w:rsid w:val="00FF3D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7C7D63"/>
  <w15:docId w15:val="{6E738146-B4FE-4A04-9C0D-41C32A7E3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7A17"/>
    <w:pPr>
      <w:spacing w:after="0" w:line="240" w:lineRule="auto"/>
    </w:pPr>
    <w:rPr>
      <w:rFonts w:ascii="Arial" w:eastAsia="Times New Roman" w:hAnsi="Arial" w:cs="Times New Roman"/>
      <w:sz w:val="24"/>
      <w:szCs w:val="20"/>
      <w:lang w:val="es-CO" w:eastAsia="es-ES"/>
    </w:rPr>
  </w:style>
  <w:style w:type="paragraph" w:styleId="Ttulo1">
    <w:name w:val="heading 1"/>
    <w:basedOn w:val="Normal"/>
    <w:next w:val="Normal"/>
    <w:link w:val="Ttulo1Car"/>
    <w:uiPriority w:val="9"/>
    <w:qFormat/>
    <w:rsid w:val="00CB0C84"/>
    <w:pPr>
      <w:keepNext/>
      <w:keepLines/>
      <w:spacing w:before="480" w:line="276" w:lineRule="auto"/>
      <w:outlineLvl w:val="0"/>
    </w:pPr>
    <w:rPr>
      <w:rFonts w:asciiTheme="majorHAnsi" w:eastAsiaTheme="majorEastAsia" w:hAnsiTheme="majorHAnsi" w:cstheme="majorBidi"/>
      <w:b/>
      <w:bCs/>
      <w:color w:val="0B5388" w:themeColor="accent1" w:themeShade="BF"/>
      <w:sz w:val="28"/>
      <w:szCs w:val="28"/>
    </w:rPr>
  </w:style>
  <w:style w:type="paragraph" w:styleId="Ttulo2">
    <w:name w:val="heading 2"/>
    <w:basedOn w:val="Normal"/>
    <w:next w:val="Normal"/>
    <w:link w:val="Ttulo2Car"/>
    <w:uiPriority w:val="9"/>
    <w:semiHidden/>
    <w:unhideWhenUsed/>
    <w:qFormat/>
    <w:rsid w:val="00846B05"/>
    <w:pPr>
      <w:keepNext/>
      <w:keepLines/>
      <w:spacing w:before="40"/>
      <w:outlineLvl w:val="1"/>
    </w:pPr>
    <w:rPr>
      <w:rFonts w:asciiTheme="majorHAnsi" w:eastAsiaTheme="majorEastAsia" w:hAnsiTheme="majorHAnsi" w:cstheme="majorBidi"/>
      <w:color w:val="0B5388" w:themeColor="accent1" w:themeShade="BF"/>
      <w:sz w:val="26"/>
      <w:szCs w:val="26"/>
    </w:rPr>
  </w:style>
  <w:style w:type="paragraph" w:styleId="Ttulo3">
    <w:name w:val="heading 3"/>
    <w:basedOn w:val="Normal"/>
    <w:next w:val="Normal"/>
    <w:link w:val="Ttulo3Car"/>
    <w:uiPriority w:val="9"/>
    <w:semiHidden/>
    <w:unhideWhenUsed/>
    <w:qFormat/>
    <w:rsid w:val="0071752D"/>
    <w:pPr>
      <w:keepNext/>
      <w:keepLines/>
      <w:spacing w:before="40"/>
      <w:outlineLvl w:val="2"/>
    </w:pPr>
    <w:rPr>
      <w:rFonts w:asciiTheme="majorHAnsi" w:eastAsiaTheme="majorEastAsia" w:hAnsiTheme="majorHAnsi" w:cstheme="majorBidi"/>
      <w:color w:val="07375A" w:themeColor="accent1" w:themeShade="7F"/>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E057F"/>
    <w:pPr>
      <w:tabs>
        <w:tab w:val="center" w:pos="4419"/>
        <w:tab w:val="right" w:pos="8838"/>
      </w:tabs>
    </w:pPr>
  </w:style>
  <w:style w:type="character" w:customStyle="1" w:styleId="EncabezadoCar">
    <w:name w:val="Encabezado Car"/>
    <w:basedOn w:val="Fuentedeprrafopredeter"/>
    <w:link w:val="Encabezado"/>
    <w:uiPriority w:val="99"/>
    <w:rsid w:val="00AE057F"/>
  </w:style>
  <w:style w:type="paragraph" w:styleId="Piedepgina">
    <w:name w:val="footer"/>
    <w:basedOn w:val="Normal"/>
    <w:link w:val="PiedepginaCar"/>
    <w:uiPriority w:val="99"/>
    <w:unhideWhenUsed/>
    <w:rsid w:val="00AE057F"/>
    <w:pPr>
      <w:tabs>
        <w:tab w:val="center" w:pos="4419"/>
        <w:tab w:val="right" w:pos="8838"/>
      </w:tabs>
    </w:pPr>
  </w:style>
  <w:style w:type="character" w:customStyle="1" w:styleId="PiedepginaCar">
    <w:name w:val="Pie de página Car"/>
    <w:basedOn w:val="Fuentedeprrafopredeter"/>
    <w:link w:val="Piedepgina"/>
    <w:uiPriority w:val="99"/>
    <w:rsid w:val="00AE057F"/>
  </w:style>
  <w:style w:type="character" w:styleId="Hipervnculo">
    <w:name w:val="Hyperlink"/>
    <w:basedOn w:val="Fuentedeprrafopredeter"/>
    <w:uiPriority w:val="99"/>
    <w:unhideWhenUsed/>
    <w:rsid w:val="00AE057F"/>
    <w:rPr>
      <w:color w:val="54A838" w:themeColor="hyperlink"/>
      <w:u w:val="single"/>
    </w:rPr>
  </w:style>
  <w:style w:type="character" w:customStyle="1" w:styleId="Ttulo1Car">
    <w:name w:val="Título 1 Car"/>
    <w:basedOn w:val="Fuentedeprrafopredeter"/>
    <w:link w:val="Ttulo1"/>
    <w:uiPriority w:val="9"/>
    <w:rsid w:val="00CB0C84"/>
    <w:rPr>
      <w:rFonts w:asciiTheme="majorHAnsi" w:eastAsiaTheme="majorEastAsia" w:hAnsiTheme="majorHAnsi" w:cstheme="majorBidi"/>
      <w:b/>
      <w:bCs/>
      <w:color w:val="0B5388" w:themeColor="accent1" w:themeShade="BF"/>
      <w:sz w:val="28"/>
      <w:szCs w:val="28"/>
      <w:lang w:val="es-CO"/>
    </w:rPr>
  </w:style>
  <w:style w:type="paragraph" w:styleId="Prrafodelista">
    <w:name w:val="List Paragraph"/>
    <w:basedOn w:val="Normal"/>
    <w:uiPriority w:val="34"/>
    <w:qFormat/>
    <w:rsid w:val="00CB0C84"/>
    <w:pPr>
      <w:spacing w:after="200" w:line="276" w:lineRule="auto"/>
      <w:ind w:left="720"/>
      <w:contextualSpacing/>
    </w:pPr>
  </w:style>
  <w:style w:type="paragraph" w:styleId="Textoindependiente">
    <w:name w:val="Body Text"/>
    <w:basedOn w:val="Normal"/>
    <w:link w:val="TextoindependienteCar"/>
    <w:rsid w:val="00CB0C84"/>
    <w:pPr>
      <w:suppressAutoHyphens/>
      <w:spacing w:line="200" w:lineRule="atLeast"/>
      <w:jc w:val="both"/>
    </w:pPr>
    <w:rPr>
      <w:rFonts w:ascii="Calibri" w:eastAsia="Calibri" w:hAnsi="Calibri"/>
      <w:szCs w:val="24"/>
      <w:lang w:eastAsia="ar-SA"/>
    </w:rPr>
  </w:style>
  <w:style w:type="character" w:customStyle="1" w:styleId="TextoindependienteCar">
    <w:name w:val="Texto independiente Car"/>
    <w:basedOn w:val="Fuentedeprrafopredeter"/>
    <w:link w:val="Textoindependiente"/>
    <w:rsid w:val="00CB0C84"/>
    <w:rPr>
      <w:rFonts w:ascii="Calibri" w:eastAsia="Calibri" w:hAnsi="Calibri" w:cs="Times New Roman"/>
      <w:sz w:val="24"/>
      <w:szCs w:val="24"/>
      <w:lang w:val="es-CO" w:eastAsia="ar-SA"/>
    </w:rPr>
  </w:style>
  <w:style w:type="paragraph" w:customStyle="1" w:styleId="CM1">
    <w:name w:val="CM1"/>
    <w:basedOn w:val="Normal"/>
    <w:next w:val="Normal"/>
    <w:uiPriority w:val="99"/>
    <w:rsid w:val="00CB0C84"/>
    <w:pPr>
      <w:widowControl w:val="0"/>
      <w:autoSpaceDE w:val="0"/>
      <w:autoSpaceDN w:val="0"/>
      <w:adjustRightInd w:val="0"/>
    </w:pPr>
    <w:rPr>
      <w:rFonts w:ascii="Helvetica" w:hAnsi="Helvetica" w:cs="Helvetica"/>
      <w:szCs w:val="24"/>
      <w:lang w:val="es-ES"/>
    </w:rPr>
  </w:style>
  <w:style w:type="paragraph" w:customStyle="1" w:styleId="CM2">
    <w:name w:val="CM2"/>
    <w:basedOn w:val="Normal"/>
    <w:next w:val="Normal"/>
    <w:uiPriority w:val="99"/>
    <w:rsid w:val="00CB0C84"/>
    <w:pPr>
      <w:widowControl w:val="0"/>
      <w:autoSpaceDE w:val="0"/>
      <w:autoSpaceDN w:val="0"/>
      <w:adjustRightInd w:val="0"/>
      <w:spacing w:line="248" w:lineRule="atLeast"/>
    </w:pPr>
    <w:rPr>
      <w:rFonts w:ascii="Helvetica" w:hAnsi="Helvetica" w:cs="Helvetica"/>
      <w:szCs w:val="24"/>
      <w:lang w:val="es-ES"/>
    </w:rPr>
  </w:style>
  <w:style w:type="paragraph" w:styleId="Sinespaciado">
    <w:name w:val="No Spacing"/>
    <w:link w:val="SinespaciadoCar"/>
    <w:uiPriority w:val="1"/>
    <w:qFormat/>
    <w:rsid w:val="003A26B0"/>
    <w:pPr>
      <w:spacing w:after="0" w:line="240" w:lineRule="auto"/>
    </w:pPr>
  </w:style>
  <w:style w:type="paragraph" w:styleId="Textoindependiente2">
    <w:name w:val="Body Text 2"/>
    <w:basedOn w:val="Normal"/>
    <w:link w:val="Textoindependiente2Car"/>
    <w:uiPriority w:val="99"/>
    <w:semiHidden/>
    <w:unhideWhenUsed/>
    <w:rsid w:val="0068706B"/>
    <w:pPr>
      <w:spacing w:after="120" w:line="480" w:lineRule="auto"/>
    </w:pPr>
  </w:style>
  <w:style w:type="character" w:customStyle="1" w:styleId="Textoindependiente2Car">
    <w:name w:val="Texto independiente 2 Car"/>
    <w:basedOn w:val="Fuentedeprrafopredeter"/>
    <w:link w:val="Textoindependiente2"/>
    <w:uiPriority w:val="99"/>
    <w:semiHidden/>
    <w:rsid w:val="0068706B"/>
  </w:style>
  <w:style w:type="paragraph" w:styleId="Listaconvietas">
    <w:name w:val="List Bullet"/>
    <w:basedOn w:val="Normal"/>
    <w:rsid w:val="0068706B"/>
    <w:pPr>
      <w:numPr>
        <w:numId w:val="1"/>
      </w:numPr>
      <w:contextualSpacing/>
    </w:pPr>
  </w:style>
  <w:style w:type="paragraph" w:customStyle="1" w:styleId="Textonotapie1">
    <w:name w:val="Texto nota pie1"/>
    <w:basedOn w:val="Normal"/>
    <w:next w:val="Textonotapie"/>
    <w:link w:val="TextonotapieCar"/>
    <w:unhideWhenUsed/>
    <w:rsid w:val="0068706B"/>
    <w:rPr>
      <w:rFonts w:ascii="Calibri" w:eastAsia="Calibri" w:hAnsi="Calibri"/>
      <w:sz w:val="20"/>
      <w:lang w:eastAsia="en-US"/>
    </w:rPr>
  </w:style>
  <w:style w:type="character" w:customStyle="1" w:styleId="TextonotapieCar">
    <w:name w:val="Texto nota pie Car"/>
    <w:link w:val="Textonotapie1"/>
    <w:rsid w:val="0068706B"/>
    <w:rPr>
      <w:rFonts w:ascii="Calibri" w:eastAsia="Calibri" w:hAnsi="Calibri" w:cs="Times New Roman"/>
      <w:sz w:val="20"/>
      <w:szCs w:val="20"/>
      <w:lang w:val="es-CO"/>
    </w:rPr>
  </w:style>
  <w:style w:type="character" w:styleId="Refdenotaalpie">
    <w:name w:val="footnote reference"/>
    <w:unhideWhenUsed/>
    <w:rsid w:val="0068706B"/>
    <w:rPr>
      <w:vertAlign w:val="superscript"/>
    </w:rPr>
  </w:style>
  <w:style w:type="paragraph" w:styleId="Textonotapie">
    <w:name w:val="footnote text"/>
    <w:basedOn w:val="Normal"/>
    <w:link w:val="TextonotapieCar1"/>
    <w:rsid w:val="0068706B"/>
    <w:rPr>
      <w:sz w:val="20"/>
    </w:rPr>
  </w:style>
  <w:style w:type="character" w:customStyle="1" w:styleId="TextonotapieCar1">
    <w:name w:val="Texto nota pie Car1"/>
    <w:basedOn w:val="Fuentedeprrafopredeter"/>
    <w:link w:val="Textonotapie"/>
    <w:rsid w:val="0068706B"/>
    <w:rPr>
      <w:rFonts w:ascii="Arial" w:eastAsia="Times New Roman" w:hAnsi="Arial" w:cs="Times New Roman"/>
      <w:sz w:val="20"/>
      <w:szCs w:val="20"/>
      <w:lang w:val="es-CO" w:eastAsia="es-ES"/>
    </w:rPr>
  </w:style>
  <w:style w:type="character" w:customStyle="1" w:styleId="SinespaciadoCar">
    <w:name w:val="Sin espaciado Car"/>
    <w:link w:val="Sinespaciado"/>
    <w:uiPriority w:val="1"/>
    <w:rsid w:val="00F219EB"/>
  </w:style>
  <w:style w:type="paragraph" w:styleId="Lista">
    <w:name w:val="List"/>
    <w:basedOn w:val="Normal"/>
    <w:rsid w:val="00F219EB"/>
    <w:pPr>
      <w:ind w:left="283" w:hanging="283"/>
    </w:pPr>
    <w:rPr>
      <w:rFonts w:ascii="Times New Roman" w:hAnsi="Times New Roman"/>
      <w:szCs w:val="24"/>
      <w:lang w:val="es-ES"/>
    </w:rPr>
  </w:style>
  <w:style w:type="paragraph" w:styleId="TtuloTDC">
    <w:name w:val="TOC Heading"/>
    <w:basedOn w:val="Ttulo1"/>
    <w:next w:val="Normal"/>
    <w:uiPriority w:val="39"/>
    <w:unhideWhenUsed/>
    <w:qFormat/>
    <w:rsid w:val="00343AAE"/>
    <w:pPr>
      <w:spacing w:before="240" w:line="259" w:lineRule="auto"/>
      <w:outlineLvl w:val="9"/>
    </w:pPr>
    <w:rPr>
      <w:b w:val="0"/>
      <w:bCs w:val="0"/>
      <w:sz w:val="32"/>
      <w:szCs w:val="32"/>
      <w:lang w:eastAsia="es-CO"/>
    </w:rPr>
  </w:style>
  <w:style w:type="paragraph" w:styleId="Ttulo">
    <w:name w:val="Title"/>
    <w:basedOn w:val="Normal"/>
    <w:next w:val="Normal"/>
    <w:link w:val="TtuloCar"/>
    <w:uiPriority w:val="10"/>
    <w:qFormat/>
    <w:rsid w:val="00343AAE"/>
    <w:pPr>
      <w:spacing w:line="276" w:lineRule="auto"/>
    </w:pPr>
    <w:rPr>
      <w:rFonts w:asciiTheme="majorHAnsi" w:eastAsiaTheme="majorEastAsia" w:hAnsiTheme="majorHAnsi" w:cstheme="majorBidi"/>
      <w:caps/>
      <w:color w:val="0F70B6" w:themeColor="accent1"/>
      <w:spacing w:val="10"/>
      <w:sz w:val="52"/>
      <w:szCs w:val="52"/>
      <w:lang w:val="en-US" w:eastAsia="en-US"/>
    </w:rPr>
  </w:style>
  <w:style w:type="character" w:customStyle="1" w:styleId="TtuloCar">
    <w:name w:val="Título Car"/>
    <w:basedOn w:val="Fuentedeprrafopredeter"/>
    <w:link w:val="Ttulo"/>
    <w:uiPriority w:val="10"/>
    <w:rsid w:val="00343AAE"/>
    <w:rPr>
      <w:rFonts w:asciiTheme="majorHAnsi" w:eastAsiaTheme="majorEastAsia" w:hAnsiTheme="majorHAnsi" w:cstheme="majorBidi"/>
      <w:caps/>
      <w:color w:val="0F70B6" w:themeColor="accent1"/>
      <w:spacing w:val="10"/>
      <w:sz w:val="52"/>
      <w:szCs w:val="52"/>
    </w:rPr>
  </w:style>
  <w:style w:type="character" w:styleId="Textoennegrita">
    <w:name w:val="Strong"/>
    <w:basedOn w:val="Fuentedeprrafopredeter"/>
    <w:uiPriority w:val="22"/>
    <w:qFormat/>
    <w:rsid w:val="008A4705"/>
    <w:rPr>
      <w:b/>
      <w:bCs/>
    </w:rPr>
  </w:style>
  <w:style w:type="paragraph" w:styleId="NormalWeb">
    <w:name w:val="Normal (Web)"/>
    <w:basedOn w:val="Normal"/>
    <w:uiPriority w:val="99"/>
    <w:unhideWhenUsed/>
    <w:rsid w:val="00A16F0D"/>
    <w:pPr>
      <w:spacing w:before="100" w:beforeAutospacing="1" w:after="100" w:afterAutospacing="1"/>
    </w:pPr>
    <w:rPr>
      <w:rFonts w:ascii="Times New Roman" w:hAnsi="Times New Roman"/>
      <w:szCs w:val="24"/>
      <w:lang w:eastAsia="es-CO"/>
    </w:rPr>
  </w:style>
  <w:style w:type="table" w:styleId="Tablaconcuadrcula">
    <w:name w:val="Table Grid"/>
    <w:basedOn w:val="Tablanormal"/>
    <w:uiPriority w:val="59"/>
    <w:rsid w:val="00A16F0D"/>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A16F0D"/>
    <w:rPr>
      <w:sz w:val="16"/>
      <w:szCs w:val="16"/>
    </w:rPr>
  </w:style>
  <w:style w:type="paragraph" w:styleId="Textocomentario">
    <w:name w:val="annotation text"/>
    <w:basedOn w:val="Normal"/>
    <w:link w:val="TextocomentarioCar"/>
    <w:uiPriority w:val="99"/>
    <w:semiHidden/>
    <w:unhideWhenUsed/>
    <w:rsid w:val="00A16F0D"/>
    <w:rPr>
      <w:sz w:val="20"/>
    </w:rPr>
  </w:style>
  <w:style w:type="character" w:customStyle="1" w:styleId="TextocomentarioCar">
    <w:name w:val="Texto comentario Car"/>
    <w:basedOn w:val="Fuentedeprrafopredeter"/>
    <w:link w:val="Textocomentario"/>
    <w:uiPriority w:val="99"/>
    <w:semiHidden/>
    <w:rsid w:val="00A16F0D"/>
    <w:rPr>
      <w:rFonts w:ascii="Arial" w:eastAsia="Times New Roman" w:hAnsi="Arial" w:cs="Times New Roman"/>
      <w:sz w:val="20"/>
      <w:szCs w:val="20"/>
      <w:lang w:val="es-CO" w:eastAsia="es-ES"/>
    </w:rPr>
  </w:style>
  <w:style w:type="paragraph" w:styleId="Asuntodelcomentario">
    <w:name w:val="annotation subject"/>
    <w:basedOn w:val="Textocomentario"/>
    <w:next w:val="Textocomentario"/>
    <w:link w:val="AsuntodelcomentarioCar"/>
    <w:uiPriority w:val="99"/>
    <w:semiHidden/>
    <w:unhideWhenUsed/>
    <w:rsid w:val="00A16F0D"/>
    <w:rPr>
      <w:b/>
      <w:bCs/>
    </w:rPr>
  </w:style>
  <w:style w:type="character" w:customStyle="1" w:styleId="AsuntodelcomentarioCar">
    <w:name w:val="Asunto del comentario Car"/>
    <w:basedOn w:val="TextocomentarioCar"/>
    <w:link w:val="Asuntodelcomentario"/>
    <w:uiPriority w:val="99"/>
    <w:semiHidden/>
    <w:rsid w:val="00A16F0D"/>
    <w:rPr>
      <w:rFonts w:ascii="Arial" w:eastAsia="Times New Roman" w:hAnsi="Arial" w:cs="Times New Roman"/>
      <w:b/>
      <w:bCs/>
      <w:sz w:val="20"/>
      <w:szCs w:val="20"/>
      <w:lang w:val="es-CO" w:eastAsia="es-ES"/>
    </w:rPr>
  </w:style>
  <w:style w:type="paragraph" w:styleId="Textodeglobo">
    <w:name w:val="Balloon Text"/>
    <w:basedOn w:val="Normal"/>
    <w:link w:val="TextodegloboCar"/>
    <w:uiPriority w:val="99"/>
    <w:semiHidden/>
    <w:unhideWhenUsed/>
    <w:rsid w:val="00A16F0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16F0D"/>
    <w:rPr>
      <w:rFonts w:ascii="Segoe UI" w:eastAsia="Times New Roman" w:hAnsi="Segoe UI" w:cs="Segoe UI"/>
      <w:sz w:val="18"/>
      <w:szCs w:val="18"/>
      <w:lang w:val="es-CO" w:eastAsia="es-ES"/>
    </w:rPr>
  </w:style>
  <w:style w:type="paragraph" w:customStyle="1" w:styleId="Default">
    <w:name w:val="Default"/>
    <w:rsid w:val="00623786"/>
    <w:pPr>
      <w:autoSpaceDE w:val="0"/>
      <w:autoSpaceDN w:val="0"/>
      <w:adjustRightInd w:val="0"/>
      <w:spacing w:after="0" w:line="240" w:lineRule="auto"/>
    </w:pPr>
    <w:rPr>
      <w:rFonts w:ascii="Tahoma" w:hAnsi="Tahoma" w:cs="Tahoma"/>
      <w:color w:val="000000"/>
      <w:sz w:val="24"/>
      <w:szCs w:val="24"/>
      <w:lang w:val="es-CO"/>
    </w:rPr>
  </w:style>
  <w:style w:type="paragraph" w:customStyle="1" w:styleId="TableParagraph">
    <w:name w:val="Table Paragraph"/>
    <w:basedOn w:val="Normal"/>
    <w:uiPriority w:val="1"/>
    <w:qFormat/>
    <w:rsid w:val="006E278C"/>
    <w:pPr>
      <w:widowControl w:val="0"/>
      <w:autoSpaceDE w:val="0"/>
      <w:autoSpaceDN w:val="0"/>
    </w:pPr>
    <w:rPr>
      <w:rFonts w:ascii="Tahoma" w:eastAsia="Tahoma" w:hAnsi="Tahoma" w:cs="Tahoma"/>
      <w:sz w:val="22"/>
      <w:szCs w:val="22"/>
      <w:lang w:val="es-ES" w:eastAsia="en-US"/>
    </w:rPr>
  </w:style>
  <w:style w:type="character" w:customStyle="1" w:styleId="Ttulo3Car">
    <w:name w:val="Título 3 Car"/>
    <w:basedOn w:val="Fuentedeprrafopredeter"/>
    <w:link w:val="Ttulo3"/>
    <w:uiPriority w:val="9"/>
    <w:semiHidden/>
    <w:rsid w:val="0071752D"/>
    <w:rPr>
      <w:rFonts w:asciiTheme="majorHAnsi" w:eastAsiaTheme="majorEastAsia" w:hAnsiTheme="majorHAnsi" w:cstheme="majorBidi"/>
      <w:color w:val="07375A" w:themeColor="accent1" w:themeShade="7F"/>
      <w:sz w:val="24"/>
      <w:szCs w:val="24"/>
      <w:lang w:val="es-CO" w:eastAsia="es-ES"/>
    </w:rPr>
  </w:style>
  <w:style w:type="character" w:customStyle="1" w:styleId="Ttulo2Car">
    <w:name w:val="Título 2 Car"/>
    <w:basedOn w:val="Fuentedeprrafopredeter"/>
    <w:link w:val="Ttulo2"/>
    <w:uiPriority w:val="9"/>
    <w:semiHidden/>
    <w:rsid w:val="00846B05"/>
    <w:rPr>
      <w:rFonts w:asciiTheme="majorHAnsi" w:eastAsiaTheme="majorEastAsia" w:hAnsiTheme="majorHAnsi" w:cstheme="majorBidi"/>
      <w:color w:val="0B5388" w:themeColor="accent1" w:themeShade="BF"/>
      <w:sz w:val="26"/>
      <w:szCs w:val="26"/>
      <w:lang w:val="es-CO"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663885">
      <w:bodyDiv w:val="1"/>
      <w:marLeft w:val="0"/>
      <w:marRight w:val="0"/>
      <w:marTop w:val="0"/>
      <w:marBottom w:val="0"/>
      <w:divBdr>
        <w:top w:val="none" w:sz="0" w:space="0" w:color="auto"/>
        <w:left w:val="none" w:sz="0" w:space="0" w:color="auto"/>
        <w:bottom w:val="none" w:sz="0" w:space="0" w:color="auto"/>
        <w:right w:val="none" w:sz="0" w:space="0" w:color="auto"/>
      </w:divBdr>
    </w:div>
    <w:div w:id="140461262">
      <w:bodyDiv w:val="1"/>
      <w:marLeft w:val="0"/>
      <w:marRight w:val="0"/>
      <w:marTop w:val="0"/>
      <w:marBottom w:val="0"/>
      <w:divBdr>
        <w:top w:val="none" w:sz="0" w:space="0" w:color="auto"/>
        <w:left w:val="none" w:sz="0" w:space="0" w:color="auto"/>
        <w:bottom w:val="none" w:sz="0" w:space="0" w:color="auto"/>
        <w:right w:val="none" w:sz="0" w:space="0" w:color="auto"/>
      </w:divBdr>
    </w:div>
    <w:div w:id="366179822">
      <w:bodyDiv w:val="1"/>
      <w:marLeft w:val="0"/>
      <w:marRight w:val="0"/>
      <w:marTop w:val="0"/>
      <w:marBottom w:val="0"/>
      <w:divBdr>
        <w:top w:val="none" w:sz="0" w:space="0" w:color="auto"/>
        <w:left w:val="none" w:sz="0" w:space="0" w:color="auto"/>
        <w:bottom w:val="none" w:sz="0" w:space="0" w:color="auto"/>
        <w:right w:val="none" w:sz="0" w:space="0" w:color="auto"/>
      </w:divBdr>
    </w:div>
    <w:div w:id="1457481643">
      <w:bodyDiv w:val="1"/>
      <w:marLeft w:val="0"/>
      <w:marRight w:val="0"/>
      <w:marTop w:val="0"/>
      <w:marBottom w:val="0"/>
      <w:divBdr>
        <w:top w:val="none" w:sz="0" w:space="0" w:color="auto"/>
        <w:left w:val="none" w:sz="0" w:space="0" w:color="auto"/>
        <w:bottom w:val="none" w:sz="0" w:space="0" w:color="auto"/>
        <w:right w:val="none" w:sz="0" w:space="0" w:color="auto"/>
      </w:divBdr>
    </w:div>
    <w:div w:id="1577787775">
      <w:bodyDiv w:val="1"/>
      <w:marLeft w:val="0"/>
      <w:marRight w:val="0"/>
      <w:marTop w:val="0"/>
      <w:marBottom w:val="0"/>
      <w:divBdr>
        <w:top w:val="none" w:sz="0" w:space="0" w:color="auto"/>
        <w:left w:val="none" w:sz="0" w:space="0" w:color="auto"/>
        <w:bottom w:val="none" w:sz="0" w:space="0" w:color="auto"/>
        <w:right w:val="none" w:sz="0" w:space="0" w:color="auto"/>
      </w:divBdr>
    </w:div>
    <w:div w:id="1627004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Tema de Office">
  <a:themeElements>
    <a:clrScheme name="ALCALDIA E.S.E.">
      <a:dk1>
        <a:srgbClr val="262626"/>
      </a:dk1>
      <a:lt1>
        <a:srgbClr val="F0C900"/>
      </a:lt1>
      <a:dk2>
        <a:srgbClr val="1F5672"/>
      </a:dk2>
      <a:lt2>
        <a:srgbClr val="D9EBF4"/>
      </a:lt2>
      <a:accent1>
        <a:srgbClr val="0F70B6"/>
      </a:accent1>
      <a:accent2>
        <a:srgbClr val="35A7BA"/>
      </a:accent2>
      <a:accent3>
        <a:srgbClr val="08B7EB"/>
      </a:accent3>
      <a:accent4>
        <a:srgbClr val="A3ACB2"/>
      </a:accent4>
      <a:accent5>
        <a:srgbClr val="F0C900"/>
      </a:accent5>
      <a:accent6>
        <a:srgbClr val="0F70B6"/>
      </a:accent6>
      <a:hlink>
        <a:srgbClr val="54A838"/>
      </a:hlink>
      <a:folHlink>
        <a:srgbClr val="08B7EB"/>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5E10A8-B7E0-4F35-B8DF-2104A86424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9</Pages>
  <Words>1426</Words>
  <Characters>8148</Characters>
  <Application>Microsoft Office Word</Application>
  <DocSecurity>0</DocSecurity>
  <Lines>204</Lines>
  <Paragraphs>127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Gamer</dc:creator>
  <cp:lastModifiedBy>Paula Gabriela Torres Pacheco</cp:lastModifiedBy>
  <cp:revision>29</cp:revision>
  <cp:lastPrinted>2025-03-06T14:50:00Z</cp:lastPrinted>
  <dcterms:created xsi:type="dcterms:W3CDTF">2025-12-11T06:11:00Z</dcterms:created>
  <dcterms:modified xsi:type="dcterms:W3CDTF">2025-12-12T21:02:00Z</dcterms:modified>
</cp:coreProperties>
</file>